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Cs/>
          <w:color w:val="000000"/>
          <w:sz w:val="24"/>
          <w:szCs w:val="24"/>
        </w:rPr>
      </w:pPr>
      <w:r/>
      <w:bookmarkStart w:id="0" w:name="_GoBack"/>
      <w:r/>
      <w:bookmarkEnd w:id="0"/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Проект договора подряда</w:t>
      </w:r>
      <w:r>
        <w:rPr>
          <w:bCs/>
          <w:color w:val="000000"/>
          <w:sz w:val="24"/>
          <w:szCs w:val="24"/>
        </w:rPr>
        <w:t xml:space="preserve"> № ______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г. Владивосток                                 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«____» _______________ 2026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tabs>
          <w:tab w:val="left" w:pos="1276" w:leader="none"/>
        </w:tabs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Акционерное общество «Дальневосточная генерирующая компания» (АО «ДГК»), именуемое в дальнейшем «Заказчик», в лице _________________________________________, действующего на осн</w:t>
      </w:r>
      <w:r>
        <w:rPr>
          <w:rFonts w:eastAsia="Calibri"/>
          <w:sz w:val="24"/>
          <w:szCs w:val="24"/>
          <w:lang w:eastAsia="en-US"/>
        </w:rPr>
        <w:t xml:space="preserve">овании _______________________________, с одной стороны, и _______________________________, именуемое в дальнейшем «Подрядчик», в лице __________________________________, действующего на основании ___________, с другой стороны, совместно именуемые в дальне</w:t>
      </w:r>
      <w:r>
        <w:rPr>
          <w:rFonts w:eastAsia="Calibri"/>
          <w:sz w:val="24"/>
          <w:szCs w:val="24"/>
          <w:lang w:eastAsia="en-US"/>
        </w:rPr>
        <w:t xml:space="preserve">йшем «Стороны», а по отдельности – «Сторона», по результатам проведенной Заказчиком конкурентной процедуры по лоту № 11037007-РЕМ ПРОД-2026-ДГК-ПТС, на основании Протокола _________________ от __________________ года, заключили настоящий договор (далее</w:t>
      </w:r>
      <w:r>
        <w:rPr>
          <w:rFonts w:eastAsia="Calibri"/>
          <w:sz w:val="24"/>
          <w:szCs w:val="24"/>
          <w:lang w:eastAsia="en-US"/>
        </w:rPr>
        <w:t xml:space="preserve"> – «Договор») о нижеследующем:</w:t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contextualSpacing/>
        <w:ind w:firstLine="709"/>
        <w:spacing w:line="240" w:lineRule="auto"/>
        <w:tabs>
          <w:tab w:val="left" w:pos="1276" w:leader="none"/>
        </w:tabs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pStyle w:val="1085"/>
        <w:ind w:left="0"/>
        <w:jc w:val="center"/>
        <w:shd w:val="clear" w:color="auto" w:fill="ffffff"/>
        <w:widowControl w:val="off"/>
        <w:tabs>
          <w:tab w:val="left" w:pos="28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5"/>
        <w:ind w:left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  <w:t xml:space="preserve">Термины и определения</w:t>
      </w:r>
      <w:r>
        <w:rPr>
          <w:bCs/>
        </w:rPr>
      </w:r>
      <w:r>
        <w:rPr>
          <w:bCs/>
        </w:rPr>
      </w:r>
    </w:p>
    <w:p>
      <w:pPr>
        <w:pStyle w:val="1069"/>
        <w:ind w:firstLine="708"/>
        <w:rPr>
          <w:color w:val="auto"/>
        </w:rPr>
      </w:pPr>
      <w:r>
        <w:rPr>
          <w:color w:val="auto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color w:val="auto"/>
        </w:rPr>
      </w:r>
      <w:r>
        <w:rPr>
          <w:color w:val="auto"/>
        </w:rPr>
      </w:r>
    </w:p>
    <w:p>
      <w:pPr>
        <w:pStyle w:val="1085"/>
        <w:ind w:left="0" w:firstLine="708"/>
        <w:jc w:val="both"/>
        <w:rPr>
          <w:lang w:eastAsia="en-US"/>
        </w:rPr>
      </w:pPr>
      <w:r>
        <w:rPr>
          <w:lang w:eastAsia="en-US"/>
        </w:rPr>
        <w:t xml:space="preserve">«Акт КС-2», «Справка КС-3» – 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</w:t>
      </w:r>
      <w:r>
        <w:rPr>
          <w:bCs/>
        </w:rPr>
        <w:t xml:space="preserve">постановлением Госкомстата РФ от 11.11.1999 № 100.</w:t>
      </w:r>
      <w:r>
        <w:rPr>
          <w:lang w:eastAsia="en-US"/>
        </w:rPr>
      </w:r>
      <w:r>
        <w:rPr>
          <w:lang w:eastAsia="en-US"/>
        </w:rPr>
      </w:r>
    </w:p>
    <w:p>
      <w:pPr>
        <w:ind w:firstLine="708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lang w:eastAsia="en-US"/>
        </w:rPr>
        <w:t xml:space="preserve">«Акт ОС-3» – документ, оформляемый по унифицированной форме № ОС-3 «А</w:t>
      </w:r>
      <w:r>
        <w:rPr>
          <w:sz w:val="24"/>
          <w:szCs w:val="24"/>
        </w:rPr>
        <w:t xml:space="preserve"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средств»,</w:t>
      </w:r>
      <w:r>
        <w:rPr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</w:rPr>
        <w:t xml:space="preserve">утвержденной постановлением Госкомстата РФ от 21.01.2003 № 7.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8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 в течение которого качество выполненных Работ, использованных Материально-технических ресурсов должно соответствовать требованиям Догов</w:t>
      </w:r>
      <w:r>
        <w:rPr>
          <w:sz w:val="24"/>
          <w:szCs w:val="24"/>
          <w:lang w:eastAsia="en-US"/>
        </w:rPr>
        <w:t xml:space="preserve">ора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85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«Договор»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1085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«Исполнительн</w:t>
      </w:r>
      <w:bookmarkStart w:id="1" w:name="OCRUncertain148"/>
      <w:r>
        <w:rPr>
          <w:lang w:eastAsia="en-US"/>
        </w:rPr>
        <w:t xml:space="preserve">а</w:t>
      </w:r>
      <w:bookmarkEnd w:id="1"/>
      <w:r>
        <w:rPr>
          <w:lang w:eastAsia="en-US"/>
        </w:rPr>
        <w:t xml:space="preserve">я док</w:t>
      </w:r>
      <w:bookmarkStart w:id="2" w:name="OCRUncertain149"/>
      <w:r>
        <w:rPr>
          <w:lang w:eastAsia="en-US"/>
        </w:rPr>
        <w:t xml:space="preserve">у</w:t>
      </w:r>
      <w:bookmarkEnd w:id="2"/>
      <w:r>
        <w:rPr>
          <w:lang w:eastAsia="en-US"/>
        </w:rPr>
        <w:t xml:space="preserve">м</w:t>
      </w:r>
      <w:bookmarkStart w:id="3" w:name="OCRUncertain150"/>
      <w:r>
        <w:rPr>
          <w:lang w:eastAsia="en-US"/>
        </w:rPr>
        <w:t xml:space="preserve">е</w:t>
      </w:r>
      <w:bookmarkEnd w:id="3"/>
      <w:r>
        <w:rPr>
          <w:lang w:eastAsia="en-US"/>
        </w:rPr>
        <w:t xml:space="preserve">нтац</w:t>
      </w:r>
      <w:bookmarkStart w:id="4" w:name="OCRUncertain151"/>
      <w:r>
        <w:rPr>
          <w:lang w:eastAsia="en-US"/>
        </w:rPr>
        <w:t xml:space="preserve">и</w:t>
      </w:r>
      <w:bookmarkEnd w:id="4"/>
      <w:r>
        <w:rPr>
          <w:lang w:eastAsia="en-US"/>
        </w:rPr>
        <w:t xml:space="preserve">я» 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Объекта, а также фактическое исполнение проектных решений в процессе выполнения Работ по Договору.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85"/>
        <w:ind w:left="0" w:firstLine="720"/>
        <w:jc w:val="both"/>
        <w:tabs>
          <w:tab w:val="left" w:pos="567" w:leader="none"/>
        </w:tabs>
        <w:rPr>
          <w:lang w:eastAsia="en-US"/>
        </w:rPr>
      </w:pPr>
      <w:r>
        <w:rPr>
          <w:lang w:eastAsia="en-US"/>
        </w:rPr>
        <w:t xml:space="preserve">Перечень исполнительной документации, утвержденный Заказчиком указан в Техническом задании (Приложение №1 к Договору).</w:t>
      </w:r>
      <w:r>
        <w:rPr>
          <w:lang w:eastAsia="en-US"/>
        </w:rPr>
      </w:r>
      <w:r>
        <w:rPr>
          <w:lang w:eastAsia="en-US"/>
        </w:rPr>
      </w:r>
    </w:p>
    <w:p>
      <w:pPr>
        <w:pStyle w:val="1085"/>
        <w:ind w:left="0" w:firstLine="709"/>
        <w:jc w:val="both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Исполнительная документация предъявляется Подрядчиком при освидетельствовании выполненных работ, предусмотренных Договором, а также при приемке Объекта в эксплуатацию. Исполнительная документация в комплекте с другими документами </w:t>
      </w:r>
      <w:r>
        <w:rPr>
          <w:lang w:eastAsia="en-US"/>
        </w:rPr>
        <w:t xml:space="preserve">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1085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«Коммерческая тайн</w:t>
      </w:r>
      <w:r>
        <w:rPr>
          <w:lang w:eastAsia="en-US"/>
        </w:rPr>
        <w:t xml:space="preserve">а»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85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«Лимит на непредвиденные работы и затраты» – резерв средств на работы и затраты, предназначенный для возмещения стоимости работ и затрат, потребность в которых возникает </w:t>
      </w:r>
      <w:r>
        <w:rPr>
          <w:lang w:eastAsia="en-US"/>
        </w:rPr>
        <w:t xml:space="preserve">у Подрядчика в процессе выполнения Работ по Договору </w:t>
      </w:r>
      <w:r>
        <w:rPr>
          <w:lang w:eastAsia="en-US"/>
        </w:rPr>
        <w:t xml:space="preserve">в результате проведенной дефектации оборудования, зданий и/или сооружений. </w:t>
      </w:r>
      <w:r>
        <w:rPr>
          <w:lang w:eastAsia="en-US"/>
        </w:rPr>
      </w:r>
      <w:r>
        <w:rPr>
          <w:lang w:eastAsia="en-US"/>
        </w:rPr>
      </w:r>
    </w:p>
    <w:p>
      <w:pPr>
        <w:pStyle w:val="1085"/>
        <w:ind w:left="0" w:firstLine="708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lang w:eastAsia="en-US"/>
        </w:rPr>
        <w:t xml:space="preserve">«Материально-технические ресурсы» – всевозможные</w:t>
      </w:r>
      <w:r>
        <w:rPr>
          <w:lang w:eastAsia="en-US"/>
        </w:rPr>
        <w:t xml:space="preserve"> материалы,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</w:t>
      </w:r>
      <w:r>
        <w:rPr>
          <w:sz w:val="24"/>
          <w:szCs w:val="24"/>
          <w:lang w:eastAsia="en-US"/>
        </w:rPr>
        <w:t xml:space="preserve">екте согласно условиям Договора, необходимые для выполнения Работ </w:t>
      </w:r>
      <w:r>
        <w:rPr>
          <w:sz w:val="24"/>
          <w:szCs w:val="24"/>
          <w:highlight w:val="white"/>
          <w:lang w:eastAsia="en-US"/>
        </w:rPr>
        <w:t xml:space="preserve">по Договору и последующей нормальной и надежной эксплуатации Объекта.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34"/>
        <w:jc w:val="both"/>
        <w:spacing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«Объект» – б</w:t>
      </w:r>
      <w:r>
        <w:rPr>
          <w:sz w:val="24"/>
          <w:szCs w:val="24"/>
          <w:highlight w:val="white"/>
          <w:lang w:eastAsia="en-US"/>
        </w:rPr>
        <w:t xml:space="preserve">ак аккумуляторный для воды 5000 м.куб, расположенный по адресу: г.Владивосток (инв. №</w:t>
      </w:r>
      <w:r>
        <w:rPr>
          <w:sz w:val="24"/>
          <w:szCs w:val="24"/>
          <w:highlight w:val="white"/>
          <w:lang w:eastAsia="en-US"/>
        </w:rPr>
        <w:t xml:space="preserve">00000000000000037235</w:t>
      </w:r>
      <w:r>
        <w:rPr>
          <w:sz w:val="24"/>
          <w:szCs w:val="24"/>
          <w:highlight w:val="white"/>
          <w:lang w:eastAsia="en-US"/>
        </w:rPr>
        <w:t xml:space="preserve">)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85"/>
        <w:ind w:left="0" w:right="0" w:firstLine="709"/>
        <w:jc w:val="both"/>
        <w:spacing w:line="240" w:lineRule="auto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  <w:lang w:eastAsia="en-US"/>
        </w:rPr>
        <w:t xml:space="preserve">«Отказ от Договора» – односторон</w:t>
      </w:r>
      <w:r>
        <w:rPr>
          <w:sz w:val="24"/>
          <w:szCs w:val="24"/>
          <w:highlight w:val="white"/>
          <w:lang w:eastAsia="en-US"/>
        </w:rPr>
        <w:t xml:space="preserve">ний внесудебн</w:t>
      </w:r>
      <w:r>
        <w:rPr>
          <w:sz w:val="24"/>
          <w:szCs w:val="24"/>
          <w:lang w:eastAsia="en-US"/>
        </w:rPr>
        <w:t xml:space="preserve">ый отказ от исполнения Договора, совершенный Стороной в соответствии со статьей 450.1 Гражданского Кодекса РФ в случаях, установленных Договором.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2"/>
        <w:ind w:firstLine="709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«Применимое право» – обязательные для Сторон в процессе исполнения Договора международные сог</w:t>
      </w:r>
      <w:r>
        <w:rPr>
          <w:b w:val="0"/>
          <w:sz w:val="24"/>
          <w:szCs w:val="24"/>
          <w:lang w:eastAsia="en-US"/>
        </w:rPr>
        <w:t xml:space="preserve">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</w:t>
      </w:r>
      <w:r>
        <w:rPr>
          <w:b w:val="0"/>
          <w:sz w:val="24"/>
          <w:szCs w:val="24"/>
          <w:lang w:eastAsia="en-US"/>
        </w:rPr>
        <w:t xml:space="preserve">а та</w:t>
      </w:r>
      <w:r>
        <w:rPr>
          <w:b w:val="0"/>
          <w:sz w:val="24"/>
          <w:szCs w:val="24"/>
          <w:lang w:eastAsia="en-US"/>
        </w:rPr>
        <w:t xml:space="preserve">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</w:t>
      </w:r>
      <w:r>
        <w:rPr>
          <w:b w:val="0"/>
          <w:sz w:val="24"/>
          <w:szCs w:val="24"/>
          <w:lang w:eastAsia="en-US"/>
        </w:rPr>
        <w:t xml:space="preserve">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«Приемо-сдаточная документация» – документация, оформляемая Подрядчиком при завершении </w:t>
      </w:r>
      <w:r>
        <w:rPr>
          <w:sz w:val="24"/>
          <w:szCs w:val="24"/>
          <w:highlight w:val="white"/>
          <w:lang w:eastAsia="en-US"/>
        </w:rPr>
        <w:t xml:space="preserve">выполнения Работ по Объекту.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eastAsia="en-US"/>
        </w:rPr>
        <w:t xml:space="preserve">К приемо-сдаточной документации относятся: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–</w:t>
      </w:r>
      <w:r>
        <w:rPr>
          <w:sz w:val="24"/>
          <w:szCs w:val="24"/>
          <w:lang w:eastAsia="en-US"/>
        </w:rPr>
        <w:tab/>
        <w:t xml:space="preserve">эксплуатационная документация, сертификаты, технические условия, протоколы, инструкции, паспорта;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–</w:t>
      </w:r>
      <w:r>
        <w:rPr>
          <w:sz w:val="24"/>
          <w:szCs w:val="24"/>
          <w:lang w:eastAsia="en-US"/>
        </w:rPr>
        <w:tab/>
        <w:t xml:space="preserve">документы, удостоверяющие качество используемых Подрядчиком Материально-технических ресурсов;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–</w:t>
      </w:r>
      <w:r>
        <w:rPr>
          <w:sz w:val="24"/>
          <w:szCs w:val="24"/>
          <w:lang w:eastAsia="en-US"/>
        </w:rPr>
        <w:tab/>
        <w:t xml:space="preserve">пофамильные списки персонала, задействованного при производстве Работ, а также копии всех документов, подтверждающих его квалификацию.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9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  <w:lang w:eastAsia="en-US"/>
        </w:rPr>
        <w:t xml:space="preserve">«Работы» – все производимые / выполняемые Подрядчиком на свой риск, с использованием свои</w:t>
      </w:r>
      <w:r>
        <w:rPr>
          <w:b w:val="0"/>
          <w:sz w:val="24"/>
          <w:szCs w:val="24"/>
          <w:lang w:eastAsia="en-US"/>
        </w:rPr>
        <w:t xml:space="preserve">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выявленных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недостатков, </w:t>
      </w:r>
      <w:r>
        <w:rPr>
          <w:b w:val="0"/>
          <w:sz w:val="24"/>
          <w:szCs w:val="24"/>
        </w:rPr>
        <w:t xml:space="preserve">несоответст</w:t>
      </w:r>
      <w:r>
        <w:rPr>
          <w:b w:val="0"/>
          <w:sz w:val="24"/>
          <w:szCs w:val="24"/>
        </w:rPr>
        <w:t xml:space="preserve">вий и / или дефектов в Результате работ, а также любые иные работы (в том числе приобретение Материально-технических ресурсов), необходимые для выполнения Подрядчиком своих обязательств по Договору, независимо от их прямого указания в Договоре. 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«Рабочий день» – день, который в соответствии с Применимым правом, является рабочим днем в Российской Федерации.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89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«Результат работ»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№1 к Договору).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«Скрытые работы» – отдельные виды работ, оказывающ</w:t>
      </w:r>
      <w:r>
        <w:rPr>
          <w:b w:val="0"/>
          <w:sz w:val="24"/>
          <w:szCs w:val="24"/>
          <w:lang w:eastAsia="en-US"/>
        </w:rPr>
        <w:t xml:space="preserve">ие влияние на безопасность Объекта, которые недоступны для визуальной оценки при сдаче Подрядчиком Результата Работ Заказчику, поскольку в соответствии с технологией контроль их качества и точность невозможно определить после выполнения последующих Работ. 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highlight w:val="none"/>
          <w:lang w:eastAsia="en-US"/>
        </w:rPr>
      </w:pPr>
      <w:r>
        <w:rPr>
          <w:sz w:val="24"/>
          <w:szCs w:val="24"/>
          <w:lang w:eastAsia="en-US"/>
        </w:rPr>
        <w:t xml:space="preserve">«Субъект МСП» – субъект малого и среднего предпринимательства.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pStyle w:val="89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«Субподрядчик»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«Техническое задание»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pStyle w:val="89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bCs w:val="0"/>
          <w:sz w:val="24"/>
          <w:szCs w:val="24"/>
          <w:lang w:eastAsia="en-US"/>
          <w14:ligatures w14:val="none"/>
        </w:rPr>
      </w:pPr>
      <w:r>
        <w:rPr>
          <w:b w:val="0"/>
          <w:bCs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  <w:t xml:space="preserve">Универсальный передаточный документ (УПД) – форма документа, рекомендованная для применения письмом ФНС России от 21.10.2013 № ММВ-20-3/96@ (объединяет реквизиты счета-фактуры и первичного документа о передаче товаров, работ, услуг).</w:t>
      </w:r>
      <w:r>
        <w:rPr>
          <w:b w:val="0"/>
          <w:bCs w:val="0"/>
          <w:sz w:val="24"/>
          <w:szCs w:val="24"/>
          <w:lang w:eastAsia="en-US"/>
        </w:rPr>
      </w:r>
      <w:r>
        <w:rPr>
          <w:b w:val="0"/>
          <w:bCs w:val="0"/>
          <w:sz w:val="24"/>
          <w:szCs w:val="24"/>
          <w:lang w:eastAsia="en-US"/>
        </w:rPr>
      </w:r>
    </w:p>
    <w:p>
      <w:pPr>
        <w:pStyle w:val="89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eastAsia="en-US"/>
        </w:rPr>
      </w:pPr>
      <w:r>
        <w:rPr>
          <w:b w:val="0"/>
          <w:sz w:val="24"/>
          <w:szCs w:val="24"/>
          <w:lang w:eastAsia="en-US"/>
        </w:rPr>
        <w:t xml:space="preserve">«Цена Договора предельная» – определяемая в соотве</w:t>
      </w:r>
      <w:r>
        <w:rPr>
          <w:b w:val="0"/>
          <w:sz w:val="24"/>
          <w:szCs w:val="24"/>
          <w:lang w:eastAsia="en-US"/>
        </w:rPr>
        <w:t xml:space="preserve">тствии с разделом 3 Договора максимальная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eastAsia="en-US"/>
        </w:rPr>
        <w:t xml:space="preserve">на весь период действия Договора. При этом оплата Работ производится по фактическим затратам Подрядчика, но не выше предельной (максимальной) цены Договора.</w:t>
      </w:r>
      <w:r>
        <w:rPr>
          <w:b w:val="0"/>
          <w:sz w:val="24"/>
          <w:szCs w:val="24"/>
          <w:lang w:eastAsia="en-US"/>
        </w:rPr>
      </w:r>
      <w:r>
        <w:rPr>
          <w:b w:val="0"/>
          <w:sz w:val="24"/>
          <w:szCs w:val="24"/>
          <w:lang w:eastAsia="en-US"/>
        </w:rPr>
      </w:r>
    </w:p>
    <w:p>
      <w:pPr>
        <w:ind w:firstLine="0"/>
        <w:jc w:val="center"/>
        <w:shd w:val="clear" w:color="auto" w:fill="ffffff"/>
        <w:tabs>
          <w:tab w:val="left" w:pos="284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  <w:tab w:val="left" w:pos="1134" w:leader="none"/>
        </w:tabs>
        <w:rPr>
          <w:bCs/>
        </w:rPr>
      </w:pPr>
      <w:r>
        <w:rPr>
          <w:bCs/>
        </w:rPr>
        <w:t xml:space="preserve">Предмет Договора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5" w:name="_Ref361410951"/>
      <w:r>
        <w:rPr>
          <w:bCs/>
        </w:rPr>
        <w:t xml:space="preserve">Подрядчик обязуется в соответствии с Техническим заданием (Приложение №1 к Договору) выполнить работы </w:t>
      </w:r>
      <w:r>
        <w:rPr>
          <w:bCs/>
        </w:rPr>
        <w:t xml:space="preserve">по текущему ремонту бака-аккумулятора горячей воды №2 Котельного цеха №2 </w:t>
      </w:r>
      <w:r>
        <w:rPr>
          <w:bCs/>
        </w:rPr>
        <w:t xml:space="preserve">(далее по тексту – «Работы»),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5"/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</w:rPr>
        <w:t xml:space="preserve">Объем Работ по Договору определяется Ведомостью объемов работ (Приложение №1.1 </w:t>
      </w:r>
      <w:r>
        <w:rPr>
          <w:bCs/>
          <w:highlight w:val="white"/>
        </w:rPr>
        <w:t xml:space="preserve">к Техническому заданию). Работы по Договору подлежат выполнению Подрядчиком в строгом соответствии с требованиями Применимого права и указаниями Заказчика.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numPr>
          <w:ilvl w:val="1"/>
          <w:numId w:val="3"/>
        </w:numPr>
        <w:ind w:left="0" w:firstLine="709"/>
        <w:jc w:val="both"/>
        <w:tabs>
          <w:tab w:val="left" w:pos="-142" w:leader="none"/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Работы по Договору выполняются для нужд структурного подразделения Заказчика «Прим</w:t>
      </w:r>
      <w:r>
        <w:rPr>
          <w:bCs/>
          <w:highlight w:val="white"/>
        </w:rPr>
        <w:t xml:space="preserve">орские тепловые сети».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Место выполнения Работ: Приморский край, г. Владивосток, ул. Бородинская, 24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highlight w:val="white"/>
        </w:rPr>
      </w:r>
      <w:bookmarkStart w:id="6" w:name="_Ref361320424"/>
      <w:r>
        <w:rPr>
          <w:bCs/>
          <w:highlight w:val="white"/>
        </w:rPr>
        <w:t xml:space="preserve">Работы выполняются Подрядчиком в следующие сроки:</w:t>
      </w:r>
      <w:bookmarkEnd w:id="6"/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</w:rPr>
        <w:t xml:space="preserve">начало выполнения Работ: с даты, следующей за датой заключения договора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white"/>
        </w:rPr>
        <w:t xml:space="preserve">окончание выполнения Работ: </w:t>
      </w:r>
      <w:r>
        <w:rPr>
          <w:highlight w:val="white"/>
        </w:rPr>
        <w:t xml:space="preserve">30.11.2026.</w:t>
      </w:r>
      <w:r>
        <w:rPr>
          <w:highlight w:val="white"/>
        </w:rPr>
      </w:r>
      <w:r>
        <w:rPr>
          <w:highlight w:val="white"/>
        </w:rPr>
      </w:r>
    </w:p>
    <w:p>
      <w:pPr>
        <w:ind w:left="567" w:firstLine="0"/>
        <w:spacing w:line="240" w:lineRule="auto"/>
        <w:shd w:val="clear" w:color="auto" w:fill="ffffff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85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  <w:t xml:space="preserve">Права и обязанности Сторон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Сообщить Подрядчику контакты и должность представителей Заказчика, уполномоченных на оперативное рассмотрение и решение технических и организационных вопросов, связанных с выполнением Работ, включая оформление двусторонних актов.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tabs>
          <w:tab w:val="left" w:pos="1418" w:leader="none"/>
        </w:tabs>
      </w:pPr>
      <w:r/>
      <w:bookmarkStart w:id="7" w:name="_Ref361396847"/>
      <w:r>
        <w:rPr>
          <w:bCs/>
        </w:rPr>
        <w:t xml:space="preserve">В течение 3 (трех) рабочих дней с даты вступления Договора в силу, но не ранее получения соответствующего письменного запроса Подрядчика, передать (предоставить) последнему:</w:t>
      </w:r>
      <w:r/>
    </w:p>
    <w:p>
      <w:pPr>
        <w:ind w:left="0" w:right="0" w:firstLine="709"/>
        <w:jc w:val="both"/>
        <w:spacing w:line="240" w:lineRule="auto"/>
        <w:tabs>
          <w:tab w:val="left" w:pos="709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-место производства Работ, место (помещение) для складирования Материально-технических ресурсов по соответствующим актам сдачи-приемки (Приложение №12 к Договору);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  <w:tab w:val="left" w:pos="1418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-техническую и иную документацию, указанную в Техническом задании (Приложение №1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№12.1 к Договору).</w:t>
      </w:r>
      <w:bookmarkEnd w:id="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наличии технической возможности обеспечить Подрядчику возможность подключения к имеющимся у Заказчика бытовым источникам электроснабжения, водоснабжения, канализации для целей выполнения Работ по Договору</w:t>
      </w:r>
      <w:bookmarkStart w:id="8" w:name="_Ref361334549"/>
      <w:r>
        <w:rPr>
          <w:bCs/>
        </w:rPr>
        <w:t xml:space="preserve">.</w:t>
      </w:r>
      <w:bookmarkEnd w:id="8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tabs>
          <w:tab w:val="left" w:pos="709" w:leader="none"/>
        </w:tabs>
      </w:pPr>
      <w:r>
        <w:rPr>
          <w:bCs/>
          <w:highlight w:val="none"/>
        </w:rPr>
        <w:t xml:space="preserve">Оплатить выполненные Подрядчиком Работы на условиях, по цене и в сроки, предусмотренные Договором.</w:t>
      </w:r>
      <w:r>
        <w:rPr>
          <w:bCs/>
          <w:highlight w:val="none"/>
        </w:rPr>
      </w:r>
      <w:r/>
    </w:p>
    <w:p>
      <w:pPr>
        <w:pStyle w:val="1085"/>
        <w:numPr>
          <w:ilvl w:val="2"/>
          <w:numId w:val="3"/>
        </w:numPr>
        <w:ind w:left="0" w:firstLine="709"/>
        <w:jc w:val="both"/>
        <w:tabs>
          <w:tab w:val="left" w:pos="709" w:leader="none"/>
        </w:tabs>
      </w:pPr>
      <w:r>
        <w:rPr>
          <w:bCs/>
          <w:highlight w:val="none"/>
        </w:rPr>
        <w:t xml:space="preserve">Назначить из числа своего персонала лиц, ответственных за входной контроль материалов, используемых в работе, за контроль качества приемки выполненных работ.</w:t>
      </w:r>
      <w:r>
        <w:rPr>
          <w:bCs/>
          <w:highlight w:val="none"/>
        </w:rPr>
      </w:r>
      <w:r/>
    </w:p>
    <w:p>
      <w:pPr>
        <w:pStyle w:val="1085"/>
        <w:numPr>
          <w:ilvl w:val="2"/>
          <w:numId w:val="3"/>
        </w:numPr>
        <w:ind w:left="0" w:firstLine="709"/>
        <w:jc w:val="both"/>
        <w:tabs>
          <w:tab w:val="left" w:pos="709" w:leader="none"/>
        </w:tabs>
      </w:pP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ринять по акту выполненную работу, которым подтверждается полнота и качество выполненных работ. При обнаружении дефектов Заказчик обязан немедленно заявить об этом Подрядчику. Указанные недостатки должны быть описаны в приемо-сдаточном акте или ином докуме</w:t>
      </w:r>
      <w:r>
        <w:rPr>
          <w:bCs/>
          <w:highlight w:val="none"/>
        </w:rPr>
        <w:t xml:space="preserve">нте, удостоверяющем приемку, который подписывается представителями сторон.</w:t>
      </w:r>
      <w:r>
        <w:rPr>
          <w:bCs/>
          <w:highlight w:val="none"/>
        </w:rPr>
      </w:r>
      <w:r/>
    </w:p>
    <w:p>
      <w:pPr>
        <w:pStyle w:val="1085"/>
        <w:numPr>
          <w:ilvl w:val="2"/>
          <w:numId w:val="3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Производить освидетельствование (приемку) Скрытых работ.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Выполнять иные обязанности,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bCs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Круглосуточно осуществлять доступ к месту производства Работ, месту (помещению) для складирования Материально-технических ресурсов</w:t>
      </w:r>
      <w:r>
        <w:rPr>
          <w:bCs/>
        </w:rPr>
        <w:t xml:space="preserve">. В случае предоставления Подрядчику отдельного помещения для складирования Материально-технических ресурсов осуществлять осмотр такого помещения по первому требованию и в присутствии представителя Подрядчика. </w:t>
      </w:r>
      <w:r/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9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</w:t>
      </w:r>
      <w:r>
        <w:rPr>
          <w:bCs/>
        </w:rPr>
        <w:t xml:space="preserve">щего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задания, Применимого права, до устранения таких нарушени</w:t>
      </w:r>
      <w:r>
        <w:rPr>
          <w:bCs/>
        </w:rPr>
        <w:t xml:space="preserve">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bCs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9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0" w:name="_Ref361334468"/>
      <w:r>
        <w:rPr>
          <w:bCs/>
        </w:rPr>
        <w:t xml:space="preserve">Изымать пропуска и не допускать на территорию Заказчика работников Подрядчика и / или привлеченных им Субподрядчико</w:t>
      </w:r>
      <w:r>
        <w:rPr>
          <w:bCs/>
        </w:rPr>
        <w:t xml:space="preserve">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0"/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/>
      <w:bookmarkStart w:id="11" w:name="_Ref361319348"/>
      <w:r>
        <w:rPr>
          <w:bCs/>
          <w:highlight w:val="white"/>
        </w:rPr>
        <w:t xml:space="preserve"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bCs/>
          <w:highlight w:val="white"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1"/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spacing w:val="-2"/>
          <w:highlight w:val="white"/>
        </w:rPr>
        <w:t xml:space="preserve">В</w:t>
      </w:r>
      <w:r>
        <w:rPr>
          <w:spacing w:val="-2"/>
          <w:highlight w:val="white"/>
        </w:rPr>
        <w:t xml:space="preserve"> случае изменения объемов работ в пределах цены Договора Стороны подписывают исполнительные сметы на основании уточненной ведомости объемов работ, согласованной Сторонами и утвержденной Заказчиком, с сохранением ценообразующих факторов, учтенных в сметах н</w:t>
      </w:r>
      <w:r>
        <w:rPr>
          <w:spacing w:val="-2"/>
          <w:highlight w:val="white"/>
        </w:rPr>
        <w:t xml:space="preserve">астоящего Договора, с составлением протокола исключения и ведомости дополнительных объемов работ. Уточненная ведомость является обязательной для обеих Сторон. Методика составления исполнительной сметы аналогична методике составления основных смет Договора.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пояснений о ходе </w:t>
      </w:r>
      <w:r>
        <w:rPr>
          <w:bCs/>
        </w:rP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В случае необходимости приостановки Работ по Договору давать Подрядчику распоряжение о консервации результата фактически выполненных Работ.</w:t>
      </w:r>
      <w:r>
        <w:rPr>
          <w:bCs/>
        </w:rPr>
      </w:r>
      <w:r>
        <w:rPr>
          <w:bCs/>
        </w:rPr>
      </w:r>
    </w:p>
    <w:p>
      <w:pPr>
        <w:pStyle w:val="1085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Получив указанное распоряжение, Подрядчик обязан незамедлительно принять все возможные меры по обеспечению сохранности результата фактически выполне</w:t>
      </w:r>
      <w:r>
        <w:rPr>
          <w:bCs/>
        </w:rPr>
        <w:t xml:space="preserve">нных Работ на период, достаточный для согласования и заключения Сторонами дополнительного соглашения к Договору, устанавливающего порядок, сроки и стоимость консервации результата фактически выполненных Работ, обеспечивающие его долговременную сохранность.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Выполнить Работы в объеме, сроки и с качеством, соответствующим требованиям Договора и Применимого права,</w:t>
      </w:r>
      <w:r>
        <w:t xml:space="preserve"> </w:t>
      </w:r>
      <w:r>
        <w:rPr>
          <w:bCs/>
        </w:rPr>
        <w:t xml:space="preserve">и сдать их результат Заказчику.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срок, указанный в пункте 2.1.2 Договора, принять от Заказчика на время выполнения Работ по Договору: </w:t>
      </w:r>
      <w:r>
        <w:rPr>
          <w:bCs/>
        </w:rPr>
      </w:r>
      <w:r>
        <w:rPr>
          <w:bCs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- место производства Работ, </w:t>
      </w:r>
      <w:r>
        <w:rPr>
          <w:bCs/>
          <w:sz w:val="24"/>
          <w:szCs w:val="24"/>
          <w:highlight w:val="white"/>
        </w:rPr>
        <w:t xml:space="preserve">место (помещение) для складирования Материально-технических</w:t>
      </w:r>
      <w:r>
        <w:rPr>
          <w:bCs/>
          <w:sz w:val="24"/>
          <w:szCs w:val="24"/>
          <w:highlight w:val="white"/>
        </w:rPr>
        <w:t xml:space="preserve"> ресурсов по соответствующим актам сдачи-приемки (Приложение №12 к Договору);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-  техническую и иную документацию, указанную в Техническом задании (Приложение №1 к Договору) по Акту сдачи-приемки технической и иной документации (Приложение №12.1 к Договору).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При приемке места производства Работ, </w:t>
      </w:r>
      <w:r>
        <w:rPr>
          <w:bCs/>
          <w:highlight w:val="white"/>
        </w:rPr>
        <w:t xml:space="preserve">места (помещения) для складирования Ма</w:t>
      </w:r>
      <w:r>
        <w:rPr>
          <w:bCs/>
          <w:highlight w:val="white"/>
        </w:rPr>
        <w:t xml:space="preserve">териально-технических ресурсов </w:t>
      </w:r>
      <w:r>
        <w:rPr>
          <w:bCs/>
          <w:highlight w:val="white"/>
        </w:rPr>
        <w:t xml:space="preserve">указать в соответствующем акте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Материально-технических ресурсов.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white"/>
        </w:rPr>
        <w:t xml:space="preserve">В случае не</w:t>
      </w:r>
      <w:r>
        <w:rPr>
          <w:bCs/>
          <w:highlight w:val="white"/>
        </w:rPr>
        <w:t xml:space="preserve">выполнения данной обязанности </w:t>
      </w:r>
      <w:r>
        <w:rPr>
          <w:bCs/>
        </w:rPr>
        <w:t xml:space="preserve">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Выдать замечания в отношении технической и иной документации, предоставленной Заказчиком, в течение 5 (пяти) рабочих дней с даты принятия её по Акту сдачи-приемки техни</w:t>
      </w:r>
      <w:r>
        <w:rPr>
          <w:bCs/>
        </w:rPr>
        <w:t xml:space="preserve">ческой и иной документации (Приложение №12.1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недостаточности для производства Работ по Договору источников электроснабжения, водоснабжения или к</w:t>
      </w:r>
      <w:r>
        <w:rPr>
          <w:bCs/>
        </w:rPr>
        <w:t xml:space="preserve">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фактического начала выполнения Работ предоставить Заказчику:</w:t>
      </w:r>
      <w:r>
        <w:rPr>
          <w:bCs/>
        </w:rPr>
      </w:r>
      <w:r>
        <w:rPr>
          <w:bCs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85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-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Работ, включая оформление двусторонних актов;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  <w:highlight w:val="white"/>
        </w:rPr>
        <w:t xml:space="preserve">- контакты и должность представителей Подрядчика, ответственных за соблюдение </w:t>
      </w:r>
      <w:r>
        <w:rPr>
          <w:bCs/>
          <w:sz w:val="24"/>
          <w:szCs w:val="24"/>
          <w:highlight w:val="white"/>
        </w:rPr>
        <w:t xml:space="preserve">но</w:t>
      </w:r>
      <w:r>
        <w:rPr>
          <w:bCs/>
          <w:sz w:val="24"/>
          <w:szCs w:val="24"/>
          <w:highlight w:val="white"/>
        </w:rPr>
        <w:t xml:space="preserve">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указанных лиц в месте производства Работ в течение всего </w:t>
      </w:r>
      <w:r>
        <w:rPr>
          <w:bCs/>
          <w:sz w:val="24"/>
          <w:szCs w:val="24"/>
          <w:highlight w:val="white"/>
        </w:rPr>
        <w:t xml:space="preserve">срока их выполнения;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85"/>
        <w:numPr>
          <w:ilvl w:val="0"/>
          <w:numId w:val="58"/>
        </w:numPr>
        <w:ind w:left="0" w:right="0" w:firstLine="709"/>
        <w:jc w:val="both"/>
        <w:spacing w:line="240" w:lineRule="auto"/>
        <w:shd w:val="clear" w:color="auto" w:fill="ffffff"/>
        <w:tabs>
          <w:tab w:val="left" w:pos="850" w:leader="none"/>
        </w:tabs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контакты и должность представителей Подрядчика, ответственных за пожарную безопасность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/>
    </w:p>
    <w:p>
      <w:pPr>
        <w:pStyle w:val="1085"/>
        <w:numPr>
          <w:ilvl w:val="2"/>
          <w:numId w:val="3"/>
        </w:numPr>
        <w:ind w:left="0" w:firstLine="850"/>
        <w:jc w:val="both"/>
        <w:rPr>
          <w:highlight w:val="white"/>
        </w:rPr>
      </w:pPr>
      <w:r>
        <w:rPr>
          <w:highlight w:val="white"/>
        </w:rPr>
        <w:t xml:space="preserve">Обеспечить сохранность переданных Заказчиком по соответствующим актам сдачи-приемки мест (помещений), технической и иной документации и возврат их Зак</w:t>
      </w:r>
      <w:r>
        <w:t xml:space="preserve">азчику в первоначальном состоянии не позднее дат</w:t>
      </w:r>
      <w:r>
        <w:t xml:space="preserve">ы окончания выполнения Работ, указанной в пункте 1.5.2 Договора, либо, в случаях прекращения (расторжения) Договора, указанных в разделе 14 Договора, – не позднее 3 (трех) рабочих дней с даты получения соответствующего требования </w:t>
      </w:r>
      <w:r>
        <w:rPr>
          <w:highlight w:val="white"/>
        </w:rPr>
        <w:t xml:space="preserve">Заказчика. 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Выполнить организационно-технические мероприятия согласно Техническому заданию (Приложение №1 к Договору).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Утвердить у Заказчика до начала работ технологические процессы производства работ с учетом выполнения всех требований безопасности. 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Обеспечить </w:t>
      </w:r>
      <w:r>
        <w:rPr>
          <w:sz w:val="24"/>
          <w:szCs w:val="24"/>
          <w:highlight w:val="white"/>
        </w:rPr>
        <w:t xml:space="preserve">наличие допусков, разрешений и лицензий, необходимых для производства Работ</w:t>
      </w:r>
      <w:r>
        <w:rPr>
          <w:sz w:val="24"/>
          <w:szCs w:val="24"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highlight w:val="white"/>
        </w:rPr>
        <w:t xml:space="preserve">Подрядчик обязан незамедлительно, но в любом случае не позднее рабочего дня, следующего за днем наступления соответствующего обс</w:t>
      </w:r>
      <w:r>
        <w:rPr>
          <w:highlight w:val="white"/>
        </w:rP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  <w:highlight w:val="white"/>
        </w:rPr>
        <w:t xml:space="preserve">, в том числе указанных в Приложении №4 к Договору</w:t>
      </w:r>
      <w:r>
        <w:rPr>
          <w:highlight w:val="white"/>
        </w:rPr>
        <w:t xml:space="preserve">, а также в разу</w:t>
      </w:r>
      <w:r>
        <w:t xml:space="preserve">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  <w:r/>
    </w:p>
    <w:p>
      <w:pPr>
        <w:pStyle w:val="1085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/>
    </w:p>
    <w:p>
      <w:pPr>
        <w:pStyle w:val="1085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t xml:space="preserve">ься для целей Договора как обстоятельство непреодолимой силы (форс-мажор), указанное в пункте 11.1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/>
    </w:p>
    <w:p>
      <w:pPr>
        <w:pStyle w:val="1085"/>
        <w:numPr>
          <w:ilvl w:val="2"/>
          <w:numId w:val="3"/>
        </w:numPr>
        <w:ind w:left="0" w:firstLine="709"/>
        <w:jc w:val="both"/>
        <w:rPr>
          <w:bCs/>
          <w:highlight w:val="white"/>
        </w:rPr>
      </w:pPr>
      <w:r>
        <w:rPr>
          <w:highlight w:val="white"/>
        </w:rPr>
        <w:t xml:space="preserve">Выполнять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доставку, приемку,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rPr>
          <w:bCs/>
        </w:rPr>
      </w:pPr>
      <w:r>
        <w:t xml:space="preserve">Организовать контроль качества поступающих Материально-технических ресурсов, обеспечить наличие соответствующих сертификатов</w:t>
      </w:r>
      <w:r>
        <w:rPr>
          <w:bCs/>
        </w:rPr>
        <w:t xml:space="preserve">, технических паспортов и други</w:t>
      </w:r>
      <w:r>
        <w:rPr>
          <w:bCs/>
        </w:rPr>
        <w:t xml:space="preserve">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  <w:r>
        <w:rPr>
          <w:bCs/>
        </w:rPr>
      </w:r>
      <w:r>
        <w:rPr>
          <w:bCs/>
        </w:rPr>
      </w:r>
    </w:p>
    <w:p>
      <w:pPr>
        <w:pStyle w:val="1085"/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tabs>
          <w:tab w:val="left" w:pos="360" w:leader="none"/>
          <w:tab w:val="left" w:pos="540" w:leader="none"/>
        </w:tabs>
      </w:pPr>
      <w:r>
        <w:rPr>
          <w:bCs/>
        </w:rPr>
        <w:t xml:space="preserve">Провести инструктаж персонала, задействованного при производстве Работ, обеспечить соблюдение (в том числе указан</w:t>
      </w:r>
      <w:r>
        <w:rPr>
          <w:bCs/>
        </w:rPr>
        <w:t xml:space="preserve">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/>
    </w:p>
    <w:p>
      <w:pPr>
        <w:pStyle w:val="1085"/>
        <w:numPr>
          <w:ilvl w:val="2"/>
          <w:numId w:val="3"/>
        </w:numPr>
        <w:ind w:left="0" w:firstLine="709"/>
        <w:jc w:val="both"/>
        <w:rPr>
          <w:bCs/>
        </w:rPr>
      </w:pPr>
      <w:r>
        <w:t xml:space="preserve">Обеспечить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</w:t>
      </w:r>
      <w:r>
        <w:rPr>
          <w:bCs/>
        </w:rPr>
        <w:t xml:space="preserve"> осуществление Заказчиком обработки, включая сбор, накопление,</w:t>
      </w:r>
      <w:r>
        <w:rPr>
          <w:bCs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bCs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t xml:space="preserve">Предоставить Заказчику в полном объеме необходимую для приемки Работ приемо-сдаточную и исполнительную документац</w:t>
      </w:r>
      <w:r>
        <w:rPr>
          <w:highlight w:val="white"/>
        </w:rPr>
        <w:t xml:space="preserve">ию </w:t>
      </w:r>
      <w:r>
        <w:t xml:space="preserve">в трех экземплярах в составе согласно Технического задания (Приложение №1 к Договору).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ind w:left="0" w:firstLine="709"/>
        <w:jc w:val="both"/>
        <w:shd w:val="clear" w:color="auto" w:fill="ffffff"/>
      </w:pPr>
      <w: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/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</w:t>
      </w:r>
      <w:r>
        <w:rPr>
          <w:bCs/>
          <w:highlight w:val="white"/>
        </w:rPr>
        <w:t xml:space="preserve">ходе выполнения Работ, в места утилизации.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bCs/>
          <w:highlight w:val="none"/>
        </w:rPr>
        <w:t xml:space="preserve">Передать Заказчику в полном объеме лом черных и цветных металлов, образовавшихся в ходе выполнения Работ.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Выполнять полученные в ходе исполнения Договора указания Заказчика, если такие указания не противоречат условиям Договора и не представляют собой вмешательства в деятельность Подрядчика.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В случае, если такие указания могут привести к увеличени</w:t>
      </w:r>
      <w:r>
        <w:rPr>
          <w:bCs/>
          <w:sz w:val="24"/>
          <w:szCs w:val="24"/>
        </w:rPr>
        <w:t xml:space="preserve">ю Цены Договора, Подрядчик </w:t>
      </w:r>
      <w:r>
        <w:rPr>
          <w:bCs/>
          <w:sz w:val="24"/>
          <w:szCs w:val="24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</w:t>
      </w:r>
      <w:r>
        <w:rPr>
          <w:bCs/>
          <w:sz w:val="24"/>
          <w:szCs w:val="24"/>
        </w:rPr>
        <w:t xml:space="preserve">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2.3.23.1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2.3.23.1 Договора.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</w:pPr>
      <w:r>
        <w:t xml:space="preserve">Письменно известить Заказчика и до получения от него необходимых указаний приостановить Работу при обнаружении:</w:t>
      </w:r>
      <w:r/>
    </w:p>
    <w:p>
      <w:pPr>
        <w:pStyle w:val="1085"/>
        <w:numPr>
          <w:ilvl w:val="3"/>
          <w:numId w:val="3"/>
        </w:numPr>
        <w:ind w:left="0" w:firstLine="709"/>
        <w:jc w:val="both"/>
        <w:tabs>
          <w:tab w:val="left" w:pos="1843" w:leader="none"/>
        </w:tabs>
      </w:pPr>
      <w: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/>
    </w:p>
    <w:p>
      <w:pPr>
        <w:pStyle w:val="1085"/>
        <w:numPr>
          <w:ilvl w:val="3"/>
          <w:numId w:val="3"/>
        </w:numPr>
        <w:ind w:left="0" w:firstLine="709"/>
        <w:jc w:val="both"/>
        <w:tabs>
          <w:tab w:val="left" w:pos="1843" w:leader="none"/>
        </w:tabs>
      </w:pPr>
      <w:r>
        <w:t xml:space="preserve">отклонения</w:t>
      </w:r>
      <w: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/>
    </w:p>
    <w:p>
      <w:pPr>
        <w:pStyle w:val="1085"/>
        <w:numPr>
          <w:ilvl w:val="3"/>
          <w:numId w:val="3"/>
        </w:numPr>
        <w:ind w:left="0" w:firstLine="709"/>
        <w:jc w:val="both"/>
        <w:tabs>
          <w:tab w:val="left" w:pos="1843" w:leader="none"/>
        </w:tabs>
      </w:pPr>
      <w:r>
        <w:t xml:space="preserve">любых иных обстоятельств, угрожающих годности, </w:t>
      </w:r>
      <w: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/>
    </w:p>
    <w:p>
      <w:pPr>
        <w:pStyle w:val="1085"/>
        <w:ind w:left="0" w:firstLine="709"/>
        <w:jc w:val="both"/>
        <w:shd w:val="clear" w:color="auto" w:fill="ffffff"/>
        <w:tabs>
          <w:tab w:val="left" w:pos="567" w:leader="none"/>
        </w:tabs>
        <w:rPr>
          <w:bCs/>
        </w:rPr>
      </w:pPr>
      <w:r>
        <w:rPr>
          <w:bCs/>
        </w:rPr>
        <w:t xml:space="preserve">Невыполнение Подрядчиком требований пункта 2.3.23 Договора лишает его права ссылаться на соответствующие обстоятельства, как на основании освобождения или ограничения своей ответственности по Договору.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</w:pPr>
      <w:r>
        <w:t xml:space="preserve"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ind w:left="0" w:right="23" w:firstLine="709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-аварии – в течение 2 (двух) часов;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23" w:firstLine="709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23" w:firstLine="709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-хищении и иных противоправных действиях – в течение 24 (двадцати четырех) часов;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23" w:firstLine="709"/>
        <w:jc w:val="both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-аресте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23" w:firstLine="709"/>
        <w:jc w:val="both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-иных обстоятельствах, фактах, сообщениях в средствах массовой информации – в течение 24 (двадцати четырех) часов.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Нести риск случайной гибели и случайного повреждения мест (помещений),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(Приложение №12 к Договору).</w:t>
      </w:r>
      <w:r/>
    </w:p>
    <w:p>
      <w:pPr>
        <w:pStyle w:val="1085"/>
        <w:numPr>
          <w:ilvl w:val="2"/>
          <w:numId w:val="3"/>
        </w:numPr>
        <w:ind w:left="0" w:firstLine="709"/>
        <w:jc w:val="both"/>
      </w:pPr>
      <w:r>
        <w:t xml:space="preserve">По требованию и в сроки, установленные Заказчиком, своими силами, средствами и </w:t>
      </w:r>
      <w:r>
        <w:t xml:space="preserve">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/>
    </w:p>
    <w:p>
      <w:pPr>
        <w:pStyle w:val="1085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white"/>
        </w:rPr>
      </w:pPr>
      <w:r>
        <w:rPr>
          <w:highlight w:val="white"/>
        </w:rPr>
        <w:t xml:space="preserve">Подрядчик обязан незамедлительно приступать к устранению недостатков, о которых ему стало известно.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</w:pPr>
      <w:r>
        <w:t xml:space="preserve">Уведомлять Заказчика о необходимости проведения освидетельствования и/или приемки Скрытых работ. </w:t>
      </w:r>
      <w:r/>
    </w:p>
    <w:p>
      <w:pPr>
        <w:pStyle w:val="1085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white"/>
        </w:rPr>
      </w:pPr>
      <w:r>
        <w:t xml:space="preserve"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t xml:space="preserve">5 (пять)</w:t>
      </w:r>
      <w:r>
        <w:rPr>
          <w:bCs/>
        </w:rPr>
        <w:t xml:space="preserve"> рабочих дней до начала освидетельствования. В</w:t>
      </w:r>
      <w:r>
        <w:rPr>
          <w:bCs/>
        </w:rPr>
        <w:t xml:space="preserve">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</w:t>
      </w:r>
      <w:r>
        <w:rPr>
          <w:bCs/>
        </w:rPr>
        <w:t xml:space="preserve">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</w:t>
      </w:r>
      <w:r>
        <w:rPr>
          <w:bCs/>
          <w:highlight w:val="white"/>
        </w:rPr>
        <w:t xml:space="preserve">едомленного о месте и времени проведения освидетельствования и/или приемки Скрытых работ.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white"/>
        </w:rPr>
        <w:t xml:space="preserve">Освободить Заказчика от л</w:t>
      </w:r>
      <w:r>
        <w:rPr>
          <w:bCs/>
          <w:highlight w:val="white"/>
        </w:rPr>
        <w:t xml:space="preserve">юбой ответственности и выплат по всем прете</w:t>
      </w:r>
      <w:r>
        <w:rPr>
          <w:bCs/>
        </w:rPr>
        <w:t xml:space="preserve">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</w:t>
      </w:r>
      <w:r>
        <w:rPr>
          <w:bCs/>
        </w:rPr>
        <w:t xml:space="preserve">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 xml:space="preserve">без какого-либо ограничения размера такого возмещения.</w:t>
      </w:r>
      <w:r>
        <w:rPr>
          <w:bCs/>
        </w:rPr>
      </w:r>
      <w:r>
        <w:rPr>
          <w:bCs/>
        </w:rPr>
      </w:r>
    </w:p>
    <w:p>
      <w:pPr>
        <w:pStyle w:val="1085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случае, когда один или несколько соответствующих рисков были застрахованы Заказчиком, возместить ущерб в пользу Заказчика в части, не подлежащей возмещению по договору (-ам) страхования.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</w:pPr>
      <w:r>
        <w:rPr>
          <w:bCs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 xml:space="preserve">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</w:t>
      </w:r>
      <w:r/>
    </w:p>
    <w:p>
      <w:pPr>
        <w:pStyle w:val="1085"/>
        <w:numPr>
          <w:ilvl w:val="2"/>
          <w:numId w:val="3"/>
        </w:numPr>
        <w:ind w:left="0" w:firstLine="709"/>
        <w:jc w:val="both"/>
        <w:tabs>
          <w:tab w:val="left" w:pos="360" w:leader="none"/>
          <w:tab w:val="left" w:pos="540" w:leader="none"/>
        </w:tabs>
      </w:pPr>
      <w:r>
        <w:t xml:space="preserve">В случа</w:t>
      </w:r>
      <w:r>
        <w:t xml:space="preserve">е каких-либо изменений в цепочке собственников, включая бенефициаров, и (или) исполнительных органах, Подрядчик обязан предоставить соответствующую информацию (по форме Приложения №7 к Договору), не позднее 5 (пяти) календарных дней после таких изменений.</w:t>
      </w:r>
      <w:r/>
    </w:p>
    <w:p>
      <w:pPr>
        <w:pStyle w:val="1085"/>
        <w:numPr>
          <w:ilvl w:val="2"/>
          <w:numId w:val="3"/>
        </w:numPr>
        <w:ind w:left="0" w:firstLine="709"/>
        <w:jc w:val="both"/>
      </w:pPr>
      <w:r>
        <w:t xml:space="preserve">Подрядчик согласен на раскрытие Заказчик</w:t>
      </w:r>
      <w:r>
        <w:t xml:space="preserve">ом предоставленной Подрядчиком информации по форме Приложения №7 к Договору, включая содержащиеся в ней персональные данные, путем ее предоставления в органы государственной власти и предоставляет Заказчику право передавать данную информацию и подтверждающ</w:t>
      </w:r>
      <w:r>
        <w:t xml:space="preserve">ие документы указанным органам, Подрядчик, предоставляя Заказчику информацию по форме Приложения №7 к Договору, обязуется выполнить все требования законодательства о защите персональных данных. Подрядчик подтверждает, что необходимые согласия субъектов пер</w:t>
      </w:r>
      <w:r>
        <w:t xml:space="preserve">сональных данных на их раскрытие, как это предусмотрено настоящим пунктом, Подрядчиком получены (будут получены). Информация, содержащая персональные данные физических лиц, должна передаваться с соблюдением требований законодательства Российской Федерации.</w:t>
      </w:r>
      <w:r/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rPr>
          <w:highlight w:val="white"/>
        </w:rPr>
      </w:pPr>
      <w:r>
        <w:rPr>
          <w:highlight w:val="white"/>
        </w:rPr>
        <w:t xml:space="preserve">Руководствоваться требованиями нормативно-технических документов, указанных в Техническом задании (Приложение №1 к Договору).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</w:pPr>
      <w:r>
        <w:rPr>
          <w:highlight w:val="none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highlight w:val="none"/>
        </w:rPr>
      </w:r>
      <w:r/>
    </w:p>
    <w:p>
      <w:pPr>
        <w:pStyle w:val="1085"/>
        <w:numPr>
          <w:ilvl w:val="2"/>
          <w:numId w:val="3"/>
        </w:numPr>
        <w:ind w:left="0" w:firstLine="709"/>
        <w:jc w:val="both"/>
      </w:pPr>
      <w:r>
        <w:t xml:space="preserve">Исполнять иные обязанности, предусмотренные Договором и законодательством Российской Федерации. </w:t>
      </w:r>
      <w:r/>
    </w:p>
    <w:p>
      <w:pPr>
        <w:pStyle w:val="1085"/>
        <w:numPr>
          <w:ilvl w:val="1"/>
          <w:numId w:val="3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u w:val="single"/>
        </w:rPr>
      </w:pPr>
      <w:r>
        <w:rPr>
          <w:bCs/>
          <w:u w:val="single"/>
        </w:rPr>
        <w:t xml:space="preserve">Подрядчик имеет право:</w:t>
      </w:r>
      <w:r>
        <w:rPr>
          <w:bCs/>
          <w:u w:val="single"/>
        </w:rPr>
      </w:r>
      <w:r>
        <w:rPr>
          <w:bCs/>
          <w:u w:val="singl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</w:pPr>
      <w:r>
        <w:t xml:space="preserve">Самостоятельно организовать выполнение Работ.</w:t>
      </w:r>
      <w:r/>
    </w:p>
    <w:p>
      <w:pPr>
        <w:pStyle w:val="1085"/>
        <w:numPr>
          <w:ilvl w:val="2"/>
          <w:numId w:val="3"/>
        </w:numPr>
        <w:ind w:left="0" w:firstLine="709"/>
        <w:jc w:val="both"/>
      </w:pPr>
      <w:r>
        <w:t xml:space="preserve">При </w:t>
      </w:r>
      <w:r>
        <w:t xml:space="preserve">необходимости по предварительному письменному согласованию с Заказчиком заключать договоры субподряда </w:t>
      </w:r>
      <w:r>
        <w:t xml:space="preserve">в совокупности не более чем на 20 (двадцать) процентов от Цены Договора,</w:t>
      </w:r>
      <w:r>
        <w:t xml:space="preserve"> неся при этом ответственность за действия Субподрядчиков, как за свои собственные</w:t>
      </w:r>
      <w:r>
        <w:t xml:space="preserve">. </w:t>
      </w:r>
      <w:r/>
    </w:p>
    <w:p>
      <w:pPr>
        <w:pStyle w:val="1085"/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согласовании привлечения Субподрядчика Подрядчик представляет Заказчику: </w:t>
      </w:r>
      <w:r>
        <w:rPr>
          <w:bCs/>
        </w:rPr>
      </w:r>
      <w:r>
        <w:rPr>
          <w:bCs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-проект договора с Субподрядчиком;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-сведения об объемах выполнения работ Субподрядчиком;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-пофамильный перечень персонала Субподрядчика, который будет задействован при производстве Работ;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-копии учредительных документов Субподрядчика;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-справку по форме Приложения №10 к Договору (в случае привлечения Субподрядчика, соответствующего критериям СМП)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ind w:left="0" w:firstLine="426"/>
        <w:jc w:val="both"/>
        <w:shd w:val="clear" w:color="auto" w:fill="ffffff"/>
        <w:tabs>
          <w:tab w:val="left" w:pos="709" w:leader="none"/>
        </w:tabs>
      </w:pPr>
      <w:r/>
      <w:r/>
    </w:p>
    <w:p>
      <w:pPr>
        <w:pStyle w:val="1085"/>
        <w:numPr>
          <w:ilvl w:val="0"/>
          <w:numId w:val="3"/>
        </w:numPr>
        <w:jc w:val="both"/>
      </w:pPr>
      <w:r>
        <w:rPr>
          <w:highlight w:val="white"/>
        </w:rPr>
        <w:t xml:space="preserve">Цена Договора и порядок расчетов</w:t>
      </w:r>
      <w:r/>
    </w:p>
    <w:p>
      <w:pPr>
        <w:pStyle w:val="1085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widowControl w:val="off"/>
        <w:tabs>
          <w:tab w:val="left" w:pos="0" w:leader="none"/>
          <w:tab w:val="left" w:pos="1418" w:leader="none"/>
        </w:tabs>
      </w:pPr>
      <w:r>
        <w:rPr>
          <w:bCs/>
          <w:highlight w:val="white"/>
        </w:rPr>
        <w:t xml:space="preserve">Цена </w:t>
      </w:r>
      <w:r>
        <w:rPr>
          <w:bCs/>
          <w:highlight w:val="white"/>
        </w:rPr>
        <w:t xml:space="preserve">Д</w:t>
      </w:r>
      <w:r>
        <w:rPr>
          <w:bCs/>
          <w:highlight w:val="white"/>
        </w:rPr>
        <w:t xml:space="preserve">оговора в соответствии с</w:t>
      </w:r>
      <w:r>
        <w:rPr>
          <w:bCs/>
          <w:highlight w:val="white"/>
        </w:rPr>
        <w:t xml:space="preserve">о С</w:t>
      </w:r>
      <w:r>
        <w:rPr>
          <w:bCs/>
          <w:highlight w:val="white"/>
        </w:rPr>
        <w:t xml:space="preserve">водным сметным расчетом (Прило</w:t>
      </w:r>
      <w:r>
        <w:rPr>
          <w:bCs/>
          <w:highlight w:val="white"/>
        </w:rPr>
        <w:t xml:space="preserve">жени</w:t>
      </w:r>
      <w:r>
        <w:rPr>
          <w:bCs/>
          <w:highlight w:val="white"/>
        </w:rPr>
        <w:t xml:space="preserve">е №2 к Договору) является предельной и составляет ____________ (_______________________ )  рублей ______ копеек, в том числе НДС (____%) – </w:t>
      </w:r>
      <w:r>
        <w:rPr>
          <w:bCs/>
          <w:highlight w:val="white"/>
        </w:rPr>
        <w:t xml:space="preserve">____________ (_______________________ )  </w:t>
      </w:r>
      <w:r>
        <w:rPr>
          <w:bCs/>
          <w:highlight w:val="white"/>
        </w:rPr>
        <w:t xml:space="preserve"> рублей ______ копеек. </w:t>
      </w:r>
      <w:r>
        <w:rPr>
          <w:bCs/>
          <w:highlight w:val="white"/>
        </w:rPr>
      </w:r>
      <w:r/>
    </w:p>
    <w:p>
      <w:pPr>
        <w:pStyle w:val="1085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widowControl w:val="off"/>
        <w:tabs>
          <w:tab w:val="left" w:pos="0" w:leader="none"/>
          <w:tab w:val="left" w:pos="1418" w:leader="none"/>
        </w:tabs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редельная цена Работ (без учета Лимита на непредвиденные работы и затраты) составляет </w:t>
      </w:r>
      <w:r>
        <w:rPr>
          <w:bCs/>
          <w:highlight w:val="white"/>
        </w:rPr>
        <w:t xml:space="preserve">____________ (_______________________ ) </w:t>
      </w:r>
      <w:r>
        <w:rPr>
          <w:bCs/>
          <w:highlight w:val="white"/>
        </w:rPr>
        <w:t xml:space="preserve">рублей _____ копеек, в том числе НДС (____%)  </w:t>
      </w:r>
      <w:r>
        <w:rPr>
          <w:bCs/>
          <w:highlight w:val="white"/>
        </w:rPr>
        <w:t xml:space="preserve">____________ (_______________________ )</w:t>
      </w:r>
      <w:r>
        <w:rPr>
          <w:bCs/>
          <w:highlight w:val="white"/>
        </w:rPr>
        <w:t xml:space="preserve"> рублей _____ копеек;</w:t>
      </w:r>
      <w:r>
        <w:rPr>
          <w:bCs/>
          <w:highlight w:val="white"/>
        </w:rPr>
      </w:r>
      <w:r/>
    </w:p>
    <w:p>
      <w:pPr>
        <w:pStyle w:val="1085"/>
        <w:numPr>
          <w:ilvl w:val="2"/>
          <w:numId w:val="3"/>
        </w:numPr>
        <w:ind w:left="0" w:firstLine="709"/>
        <w:jc w:val="both"/>
        <w:spacing w:line="240" w:lineRule="auto"/>
        <w:shd w:val="clear" w:color="auto" w:fill="ffffff"/>
        <w:widowControl w:val="off"/>
        <w:tabs>
          <w:tab w:val="left" w:pos="0" w:leader="none"/>
          <w:tab w:val="left" w:pos="1418" w:leader="none"/>
        </w:tabs>
        <w:rPr>
          <w:sz w:val="24"/>
          <w:szCs w:val="24"/>
          <w:highlight w:val="white"/>
          <w14:ligatures w14:val="none"/>
        </w:rPr>
      </w:pPr>
      <w:r>
        <w:rPr>
          <w:bCs/>
          <w:highlight w:val="white"/>
        </w:rPr>
        <w:t xml:space="preserve">Л</w:t>
      </w:r>
      <w:r>
        <w:rPr>
          <w:bCs/>
          <w:highlight w:val="white"/>
        </w:rPr>
        <w:t xml:space="preserve">имит на непредвиденные работы и затраты </w:t>
      </w:r>
      <w:r>
        <w:rPr>
          <w:bCs/>
          <w:sz w:val="24"/>
          <w:szCs w:val="24"/>
          <w:highlight w:val="white"/>
        </w:rPr>
        <w:t xml:space="preserve">составляет </w:t>
      </w:r>
      <w:r>
        <w:rPr>
          <w:bCs/>
          <w:highlight w:val="white"/>
        </w:rPr>
        <w:t xml:space="preserve">____________ (_______________________ ) </w:t>
      </w:r>
      <w:r>
        <w:rPr>
          <w:bCs/>
          <w:highlight w:val="white"/>
        </w:rPr>
        <w:t xml:space="preserve">рублей _____ копеек, в том числе НДС (____%) </w:t>
      </w:r>
      <w:r>
        <w:rPr>
          <w:bCs/>
          <w:highlight w:val="white"/>
        </w:rPr>
        <w:t xml:space="preserve">____________ (_______________________ )</w:t>
      </w:r>
      <w:r>
        <w:rPr>
          <w:bCs/>
          <w:highlight w:val="white"/>
        </w:rPr>
        <w:t xml:space="preserve"> рублей _____ копеек</w:t>
      </w:r>
      <w:r>
        <w:rPr>
          <w:bCs/>
          <w:highlight w:val="white"/>
        </w:rPr>
        <w:t xml:space="preserve">.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pStyle w:val="1085"/>
        <w:numPr>
          <w:ilvl w:val="1"/>
          <w:numId w:val="3"/>
        </w:numPr>
        <w:ind w:left="0" w:firstLine="708"/>
        <w:jc w:val="both"/>
        <w:rPr>
          <w:highlight w:val="white"/>
        </w:rPr>
      </w:pPr>
      <w:r>
        <w:rPr>
          <w:highlight w:val="white"/>
        </w:rPr>
        <w:t xml:space="preserve">Цена Договора включает в себя прибыль Подрядчика, а также все расходы и затраты Подрядчика на: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выполнение ремонтных работ;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приобретение Материально-технических ресурсов, необходимых для выполнения Работ по Договору;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заработную плату, накладные расходы, перемещение и размещение персонала Подрядчика; 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2"/>
          <w:numId w:val="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все прочие затраты и расходы Подрядчика, связанные с выполнением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 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1"/>
          <w:numId w:val="3"/>
        </w:numPr>
        <w:ind w:left="0" w:firstLine="708"/>
        <w:jc w:val="both"/>
        <w:rPr>
          <w:highlight w:val="white"/>
        </w:rPr>
      </w:pPr>
      <w:r>
        <w:rPr>
          <w:highlight w:val="white"/>
        </w:rPr>
        <w:t xml:space="preserve">Изменение цены договора не требует заключения дополнительного соглашения к Договору только в случае, когда оно вызвано изменением ставки российского НДС.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1"/>
          <w:numId w:val="3"/>
        </w:numPr>
        <w:ind w:left="-142" w:firstLine="850"/>
        <w:jc w:val="both"/>
        <w:shd w:val="clear" w:color="auto" w:fill="ffffff"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highlight w:val="none"/>
        </w:rPr>
      </w:r>
      <w:r>
        <w:rPr>
          <w:bCs/>
          <w:highlight w:val="white"/>
        </w:rPr>
        <w:t xml:space="preserve">В случае снижения заявленной стоимости путем ввода в сводный </w:t>
      </w:r>
      <w:r>
        <w:rPr>
          <w:bCs/>
          <w:highlight w:val="white"/>
        </w:rPr>
        <w:t xml:space="preserve">сметный расчёт</w:t>
      </w:r>
      <w:r>
        <w:rPr>
          <w:bCs/>
          <w:highlight w:val="white"/>
        </w:rPr>
        <w:t xml:space="preserve"> «пони</w:t>
      </w:r>
      <w:r>
        <w:rPr>
          <w:bCs/>
          <w:sz w:val="24"/>
          <w:szCs w:val="24"/>
          <w:highlight w:val="white"/>
        </w:rPr>
        <w:t xml:space="preserve">жающего коэффициента», </w:t>
      </w:r>
      <w:r>
        <w:rPr>
          <w:bCs/>
          <w:sz w:val="24"/>
          <w:szCs w:val="24"/>
          <w:highlight w:val="white"/>
        </w:rPr>
        <w:t xml:space="preserve">учтённый в окончательных сметах понижающий коэффициент» обязателен к применению как в актах выполненных работ на стадии расчётов, так и в дополнительных сметах в случае их составления на стадии выполнения Договора подряда.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1"/>
        <w:numPr>
          <w:ilvl w:val="1"/>
          <w:numId w:val="3"/>
        </w:numPr>
        <w:ind w:left="0" w:firstLine="708"/>
        <w:tabs>
          <w:tab w:val="clear" w:pos="4677" w:leader="none"/>
          <w:tab w:val="clear" w:pos="9355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Опла</w:t>
      </w:r>
      <w:r>
        <w:rPr>
          <w:sz w:val="24"/>
          <w:szCs w:val="24"/>
        </w:rPr>
        <w:t xml:space="preserve">та по Договору осуществляется Заказчиком в следующем порядке: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2"/>
          <w:numId w:val="3"/>
        </w:numPr>
        <w:ind w:left="0" w:firstLine="708"/>
        <w:jc w:val="both"/>
        <w:shd w:val="clear" w:color="auto" w:fill="ffffff"/>
        <w:tabs>
          <w:tab w:val="left" w:pos="1418" w:leader="none"/>
        </w:tabs>
      </w:pPr>
      <w:r/>
      <w:bookmarkStart w:id="13" w:name="_Ref373242766"/>
      <w:r/>
      <w:bookmarkStart w:id="14" w:name="_Ref361834178"/>
      <w:r>
        <w:t xml:space="preserve">Расчет за фактически выполненные работы производится Заказчиком в течение 7 (семи) рабочих дней с даты подписания Сторонами документов, указанных в пункте 4.1 Договора, на основании счёта, выставленного Подрядчиком, с учетом пункта 3.5.3 Договора.</w:t>
      </w:r>
      <w:r/>
    </w:p>
    <w:p>
      <w:pPr>
        <w:pStyle w:val="1085"/>
        <w:numPr>
          <w:ilvl w:val="2"/>
          <w:numId w:val="3"/>
        </w:numPr>
        <w:ind w:left="0" w:firstLine="709"/>
        <w:jc w:val="both"/>
      </w:pPr>
      <w:r>
        <w:t xml:space="preserve">Авансирование не предусмотрено.</w:t>
      </w:r>
      <w:bookmarkEnd w:id="13"/>
      <w:r/>
      <w:r/>
    </w:p>
    <w:p>
      <w:pPr>
        <w:pStyle w:val="1085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</w:tabs>
        <w:rPr>
          <w:highlight w:val="white"/>
        </w:rPr>
      </w:pPr>
      <w:r>
        <w:t xml:space="preserve">В случае выставления Подрядчиком счета на сумму менее размера предусмотренного Договором платежа, оплата осуществляется по </w:t>
      </w:r>
      <w:r>
        <w:t xml:space="preserve">сумме счета. В случае выставления текущего/дополнительного счета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</w:t>
      </w:r>
      <w:r>
        <w:t xml:space="preserve">ического вручения </w:t>
      </w:r>
      <w:r>
        <w:rPr>
          <w:highlight w:val="white"/>
        </w:rPr>
        <w:t xml:space="preserve">Заказчику. В случае выставления Подрядчиком счета позднее 10 (десяти)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14"/>
      <w:r>
        <w:rPr>
          <w:highlight w:val="white"/>
        </w:rPr>
      </w:r>
      <w:r>
        <w:rPr>
          <w:highlight w:val="white"/>
        </w:rPr>
      </w:r>
    </w:p>
    <w:p>
      <w:pPr>
        <w:pStyle w:val="1101"/>
        <w:numPr>
          <w:ilvl w:val="1"/>
          <w:numId w:val="3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</w:t>
      </w:r>
      <w:r>
        <w:rPr>
          <w:bCs/>
          <w:sz w:val="24"/>
          <w:szCs w:val="24"/>
          <w:highlight w:val="white"/>
        </w:rPr>
        <w:t xml:space="preserve">ии. </w:t>
      </w:r>
      <w:r>
        <w:rPr>
          <w:bCs/>
          <w:sz w:val="24"/>
          <w:szCs w:val="24"/>
          <w:highlight w:val="white"/>
        </w:rPr>
        <w:t xml:space="preserve">Оплата производится Заказчиком путем перечисления денежных сре</w:t>
      </w:r>
      <w:r>
        <w:rPr>
          <w:bCs/>
          <w:sz w:val="24"/>
          <w:szCs w:val="24"/>
          <w:highlight w:val="white"/>
        </w:rPr>
        <w:t xml:space="preserve">дств </w:t>
      </w:r>
      <w:r>
        <w:rPr>
          <w:bCs/>
          <w:sz w:val="24"/>
          <w:szCs w:val="24"/>
          <w:highlight w:val="white"/>
        </w:rPr>
        <w:t xml:space="preserve">на расчетный счет </w:t>
      </w:r>
      <w:r>
        <w:rPr>
          <w:bCs/>
          <w:sz w:val="24"/>
          <w:szCs w:val="24"/>
          <w:highlight w:val="white"/>
        </w:rPr>
        <w:t xml:space="preserve">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</w:t>
      </w:r>
      <w:r>
        <w:rPr>
          <w:bCs/>
          <w:sz w:val="24"/>
          <w:szCs w:val="24"/>
          <w:highlight w:val="white"/>
        </w:rPr>
        <w:t xml:space="preserve">.</w:t>
      </w:r>
      <w:bookmarkStart w:id="15" w:name="_Ref361336647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1"/>
        <w:numPr>
          <w:ilvl w:val="1"/>
          <w:numId w:val="3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  <w:highlight w:val="white"/>
        </w:rPr>
      </w:pPr>
      <w:r>
        <w:rPr>
          <w:highlight w:val="white"/>
        </w:rPr>
      </w:r>
      <w:bookmarkStart w:id="16" w:name="_Ref361834206"/>
      <w:r>
        <w:rPr>
          <w:bCs/>
          <w:sz w:val="24"/>
          <w:szCs w:val="24"/>
          <w:highlight w:val="white"/>
        </w:rPr>
        <w:t xml:space="preserve">Если изменения, указанные в пункте 2.2.5 Договора, приводят к существенному увеличению Цены Договора,</w:t>
      </w:r>
      <w:r>
        <w:rPr>
          <w:bCs/>
          <w:sz w:val="24"/>
          <w:szCs w:val="24"/>
          <w:highlight w:val="white"/>
        </w:rPr>
        <w:t xml:space="preserve"> то Подрядчик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  <w:bookmarkEnd w:id="15"/>
      <w:r>
        <w:rPr>
          <w:highlight w:val="white"/>
        </w:rPr>
      </w:r>
      <w:bookmarkEnd w:id="16"/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1"/>
        <w:numPr>
          <w:ilvl w:val="1"/>
          <w:numId w:val="3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За исключением случая, указанного в пунк</w:t>
      </w:r>
      <w:r>
        <w:rPr>
          <w:bCs/>
          <w:sz w:val="24"/>
          <w:szCs w:val="24"/>
        </w:rPr>
        <w:t xml:space="preserve">те 3.7.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1"/>
          <w:numId w:val="3"/>
        </w:numPr>
        <w:ind w:left="0" w:firstLine="708"/>
        <w:jc w:val="both"/>
        <w:shd w:val="clear" w:color="auto" w:fill="ffffff"/>
        <w:tabs>
          <w:tab w:val="left" w:pos="1418" w:leader="none"/>
        </w:tabs>
      </w:pPr>
      <w:r>
        <w:t xml:space="preserve">Непредвиденные работы и затраты оплачиваются за фактически выполненные работы. </w:t>
      </w:r>
      <w:r>
        <w:t xml:space="preserve">Объем работ, выполняемый Подрядчиком, должен быть предварительно согласован с Заказчиком и выполняться на основании утвержденных Заказчиком смет, в рамках лимита на непредвиденные работы и затраты, предусмотренного утвержденным Сводным сметным расчетом с п</w:t>
      </w:r>
      <w:r>
        <w:t xml:space="preserve">риложениями (Приложение №2 к Договору). Приемка выполненного объема работ производится одновременно с Работами по Договору при подписании Сторонами Акта КС-2 в соответствии с пунктом 4.1 Договора. Оплата в размере 100 % (ста процентов) от стоимости непредв</w:t>
      </w:r>
      <w:r>
        <w:t xml:space="preserve">иденных работ и затрат производится Заказчиком в течение 7 (семи) рабочих дней с даты подписания Акта КС-2 и Справки КС-3 на основании счета, выставленного Подрядчиком, и с учетом пункта 3.5.3 Договора. Стоимость непредвиденных работ и затрат включается в </w:t>
      </w:r>
      <w:r>
        <w:rPr>
          <w:bCs/>
        </w:rPr>
        <w:t xml:space="preserve">общую сумму Акта КС-2, подписываемого Сторонами в соответствии с пунктом 4.1 Договора.</w:t>
      </w:r>
      <w:r/>
    </w:p>
    <w:p>
      <w:pPr>
        <w:pStyle w:val="1085"/>
        <w:numPr>
          <w:ilvl w:val="1"/>
          <w:numId w:val="3"/>
        </w:numPr>
        <w:ind w:left="0" w:firstLine="708"/>
        <w:jc w:val="both"/>
        <w:shd w:val="clear" w:color="auto" w:fill="ffffff"/>
        <w:tabs>
          <w:tab w:val="left" w:pos="1418" w:leader="none"/>
        </w:tabs>
      </w:pP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тоимость материалов, учтенная Подрядчиком в смете на стадии закрытия актов выполненных работ, подлежит подтверждению платежными документами, но не выше учтенной в смете величины. В случае фактического удорожания материалов к оплате предъявляется стоимость </w:t>
      </w:r>
      <w:r>
        <w:rPr>
          <w:bCs/>
          <w:highlight w:val="none"/>
        </w:rPr>
        <w:t xml:space="preserve">материалов, указанная в смете.</w:t>
      </w:r>
      <w:r>
        <w:rPr>
          <w:bCs/>
          <w:highlight w:val="none"/>
        </w:rPr>
      </w:r>
      <w:r/>
    </w:p>
    <w:p>
      <w:pPr>
        <w:pStyle w:val="1085"/>
        <w:numPr>
          <w:ilvl w:val="1"/>
          <w:numId w:val="3"/>
        </w:numPr>
        <w:ind w:left="0" w:firstLine="708"/>
        <w:jc w:val="both"/>
        <w:shd w:val="clear" w:color="auto" w:fill="ffffff"/>
        <w:tabs>
          <w:tab w:val="left" w:pos="1418" w:leader="none"/>
        </w:tabs>
      </w:pP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асходы за утилизацию строительного мусора принимаются на основании представленных в составе исполнительной документации отчетных документов (договоров со сторонними организациями на оказание услуг по утилизации мусора, талонов или иных действующих в муници</w:t>
      </w:r>
      <w:r>
        <w:rPr>
          <w:bCs/>
          <w:highlight w:val="none"/>
        </w:rPr>
        <w:t xml:space="preserve">пальном образовании документов на утилизацию и др.) в пределах учтенной в смете суммы.</w:t>
      </w:r>
      <w:r>
        <w:rPr>
          <w:bCs/>
          <w:highlight w:val="none"/>
        </w:rPr>
      </w:r>
      <w:r/>
    </w:p>
    <w:p>
      <w:pPr>
        <w:pStyle w:val="1085"/>
        <w:numPr>
          <w:ilvl w:val="1"/>
          <w:numId w:val="3"/>
        </w:numPr>
        <w:ind w:left="0" w:firstLine="708"/>
        <w:jc w:val="both"/>
        <w:shd w:val="clear" w:color="auto" w:fill="ffffff"/>
        <w:tabs>
          <w:tab w:val="left" w:pos="1418" w:leader="none"/>
        </w:tabs>
      </w:pPr>
      <w:r>
        <w:rPr>
          <w:bCs/>
          <w:highlight w:val="none"/>
        </w:rPr>
      </w:r>
      <w:r>
        <w:rPr>
          <w:bCs/>
          <w:highlight w:val="none"/>
        </w:rPr>
        <w:t xml:space="preserve">З</w:t>
      </w:r>
      <w:r>
        <w:rPr>
          <w:bCs/>
          <w:highlight w:val="none"/>
        </w:rPr>
        <w:t xml:space="preserve">аказчик вправе произвести сальдо взаимных обязательств сторон путем уменьшения сумм причитающихся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равленных на исполнение Договора, на суммы задолженности Подрядчика перед Заказчиком, в том числе (включая, но не ограничиваясь), суммы неотработанного аванса по Договору, суммы неустоек (пени, штрафы) за неисполнение и/или ненадлежащее исполнение обязател</w:t>
      </w:r>
      <w:r>
        <w:rPr>
          <w:bCs/>
          <w:highlight w:val="none"/>
        </w:rPr>
        <w:t xml:space="preserve">ьств по До</w:t>
      </w:r>
      <w:r>
        <w:rPr>
          <w:bCs/>
          <w:highlight w:val="none"/>
        </w:rPr>
        <w:t xml:space="preserve">говору, стоимость работ по устранению недостатков выполненных Подрядчиком работ.</w:t>
      </w:r>
      <w:r/>
    </w:p>
    <w:p>
      <w:p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ind w:left="0" w:right="0" w:firstLine="709"/>
        <w:tabs>
          <w:tab w:val="clear" w:pos="4677" w:leader="none"/>
          <w:tab w:val="clear" w:pos="935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3.13. Индексация Цены Договора не предусматривается.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Порядок сдачи-приемки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1"/>
        <w:numPr>
          <w:ilvl w:val="1"/>
          <w:numId w:val="17"/>
        </w:numPr>
        <w:ind w:left="0" w:right="0" w:firstLine="567"/>
        <w:tabs>
          <w:tab w:val="clear" w:pos="4677" w:leader="none"/>
          <w:tab w:val="clear" w:pos="9355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о </w:t>
      </w:r>
      <w:r>
        <w:rPr>
          <w:bCs/>
          <w:sz w:val="24"/>
          <w:szCs w:val="24"/>
          <w:highlight w:val="white"/>
        </w:rPr>
        <w:t xml:space="preserve">фактическому выполнению работ Подрядчик до 25-го числа каждого месяца  предъявляет Заказчику подписанный со своей стороны в 3 (трех) экземплярах акт о приемке выполненных работ по форме КС-2 и справку о стоимости выполненных</w:t>
      </w:r>
      <w:r>
        <w:rPr>
          <w:bCs/>
          <w:sz w:val="24"/>
          <w:szCs w:val="24"/>
          <w:highlight w:val="white"/>
        </w:rPr>
        <w:t xml:space="preserve"> работ и затрат по форме КС-3 с приложением приемо-сдаточной и исполнительной документации в соответствии с требованиями п.2.2 Технического задания (Приложение №1 к Договору</w:t>
      </w:r>
      <w:r>
        <w:rPr>
          <w:bCs/>
          <w:sz w:val="24"/>
          <w:szCs w:val="24"/>
          <w:highlight w:val="none"/>
        </w:rPr>
        <w:t xml:space="preserve">)/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101"/>
        <w:numPr>
          <w:ilvl w:val="1"/>
          <w:numId w:val="17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По завершении выполнения работ Подрядчик обязан подписать акт ОС-3 </w:t>
      </w:r>
      <w:r>
        <w:rPr>
          <w:bCs/>
          <w:sz w:val="24"/>
          <w:szCs w:val="24"/>
          <w:highlight w:val="white"/>
        </w:rPr>
        <w:t xml:space="preserve">в 2 (двух) экземплярах</w:t>
      </w:r>
      <w:r>
        <w:rPr>
          <w:bCs/>
          <w:sz w:val="24"/>
          <w:szCs w:val="24"/>
          <w:highlight w:val="white"/>
        </w:rPr>
        <w:t xml:space="preserve">, сформированный Заказчиком и вернуть Заказчику в течение 3-х (трех) календарных дней.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1"/>
        <w:numPr>
          <w:ilvl w:val="1"/>
          <w:numId w:val="17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white"/>
        </w:rPr>
        <w:t xml:space="preserve">В течение 5 (пяти) рабочих дней с даты получения полного комплекта </w:t>
      </w:r>
      <w:r>
        <w:rPr>
          <w:bCs/>
          <w:sz w:val="24"/>
          <w:szCs w:val="24"/>
        </w:rPr>
        <w:t xml:space="preserve">документов, указанных в пункте 4.1 Договора, Заказчик подписывает и передает Подрядчик</w:t>
      </w:r>
      <w:r>
        <w:rPr>
          <w:bCs/>
          <w:sz w:val="24"/>
          <w:szCs w:val="24"/>
        </w:rPr>
        <w:t xml:space="preserve">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1"/>
        <w:numPr>
          <w:ilvl w:val="1"/>
          <w:numId w:val="17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Устранение указанных недостатков, несоответствий и / или дефектов, выявленных Заказчиком, осуществ</w:t>
      </w:r>
      <w:r>
        <w:rPr>
          <w:bCs/>
          <w:sz w:val="24"/>
          <w:szCs w:val="24"/>
        </w:rPr>
        <w:t xml:space="preserve">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101"/>
        <w:numPr>
          <w:ilvl w:val="1"/>
          <w:numId w:val="17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Повторная приемка Заказчиком выполненных Работ после устранения недос</w:t>
      </w:r>
      <w:r>
        <w:rPr>
          <w:bCs/>
          <w:sz w:val="24"/>
          <w:szCs w:val="24"/>
          <w:highlight w:val="white"/>
        </w:rPr>
        <w:t xml:space="preserve">татков, указанных в Ведомости замечаний, осуществляется в порядке, предусмотренном пунктами 4.1-</w:t>
      </w:r>
      <w:r>
        <w:rPr>
          <w:bCs/>
          <w:sz w:val="24"/>
          <w:szCs w:val="24"/>
          <w:highlight w:val="white"/>
        </w:rPr>
        <w:t xml:space="preserve">4.3 </w:t>
      </w:r>
      <w:r>
        <w:rPr>
          <w:bCs/>
          <w:sz w:val="24"/>
          <w:szCs w:val="24"/>
          <w:highlight w:val="white"/>
        </w:rPr>
        <w:t xml:space="preserve">Договора.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1"/>
        <w:numPr>
          <w:ilvl w:val="1"/>
          <w:numId w:val="17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Если Подрядчик не устранит недостатки, несоответствия и / или дефекты Работ  в срок, установленный Заказчиком в соответствии с пунктом </w:t>
      </w:r>
      <w:r>
        <w:rPr>
          <w:bCs/>
          <w:sz w:val="24"/>
          <w:szCs w:val="24"/>
          <w:highlight w:val="white"/>
        </w:rPr>
        <w:t xml:space="preserve">4.4 Д</w:t>
      </w:r>
      <w:r>
        <w:rPr>
          <w:bCs/>
          <w:sz w:val="24"/>
          <w:szCs w:val="24"/>
          <w:highlight w:val="white"/>
        </w:rPr>
        <w:t xml:space="preserve">оговора, Заказчик вправе собственными силами и (или) силами третьих лиц выполнить работы по устранению нед</w:t>
      </w:r>
      <w:r>
        <w:rPr>
          <w:bCs/>
          <w:sz w:val="24"/>
          <w:szCs w:val="24"/>
          <w:highlight w:val="white"/>
        </w:rPr>
        <w:t xml:space="preserve">остатков, выявленных в ходе приемки результатов Работ, с отнесением на Подрядчика соответствующих расходов.</w:t>
      </w:r>
      <w:r>
        <w:rPr>
          <w:bCs/>
          <w:sz w:val="24"/>
          <w:szCs w:val="24"/>
          <w:highlight w:val="white"/>
        </w:rPr>
        <w:t xml:space="preserve">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101"/>
        <w:numPr>
          <w:ilvl w:val="1"/>
          <w:numId w:val="17"/>
        </w:numPr>
        <w:ind w:left="0" w:firstLine="708"/>
        <w:tabs>
          <w:tab w:val="clear" w:pos="4677" w:leader="none"/>
          <w:tab w:val="clear" w:pos="9355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85"/>
        <w:numPr>
          <w:ilvl w:val="1"/>
          <w:numId w:val="17"/>
        </w:numPr>
        <w:ind w:left="0" w:firstLine="708"/>
        <w:jc w:val="both"/>
        <w:shd w:val="clear" w:color="auto" w:fill="ffffff"/>
        <w:tabs>
          <w:tab w:val="left" w:pos="142" w:leader="none"/>
        </w:tabs>
        <w:rPr>
          <w:bCs/>
        </w:rPr>
      </w:pPr>
      <w:r>
        <w:rPr>
          <w:bCs/>
        </w:rPr>
        <w:t xml:space="preserve">Подрядчик обязан представить Заказчику счет-фактуру (УПД), выставленный в сроки и оформленный в </w:t>
      </w:r>
      <w:r>
        <w:rPr>
          <w:bCs/>
        </w:rPr>
        <w:t xml:space="preserve">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(УПД) в течение 3 (трех) рабочих дней с даты получения соответствующего письменного требования Заказчика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85"/>
        <w:ind w:left="0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  <w:t xml:space="preserve">Право собственности и переход рисков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8" w:name="_Ref361405028"/>
      <w:r>
        <w:rPr>
          <w:bCs/>
        </w:rPr>
        <w:t xml:space="preserve">Риск случайной гибели или повреждения Результата Работ в отношении Объекта, включая Материально-технические ресурсы, переходит к Заказчику с момента подписания последнего КС-2</w:t>
      </w:r>
      <w:r>
        <w:rPr>
          <w:bCs/>
        </w:rPr>
        <w:t xml:space="preserve"> по Объекту. До подписания Сторонами указанного Акта риск случайной гибели или повреждения Результата Работ по Объекту и Материально-технических ресурсов, несет Подрядчик.</w:t>
      </w:r>
      <w:bookmarkEnd w:id="18"/>
      <w:r>
        <w:rPr>
          <w:bCs/>
        </w:rPr>
      </w:r>
      <w:r>
        <w:rPr>
          <w:bCs/>
        </w:rPr>
      </w:r>
    </w:p>
    <w:p>
      <w:pPr>
        <w:pStyle w:val="1085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  <w:t xml:space="preserve">Ответственность Сторон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851"/>
        <w:jc w:val="both"/>
        <w:rPr>
          <w:bCs/>
        </w:rPr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</w:t>
      </w:r>
      <w:r>
        <w:rPr>
          <w:bCs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17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Заказчиком сроков оплаты, установленных разделом 3 Договора, Подрядчик вправе потребовать уплаты Зака</w:t>
      </w:r>
      <w:r>
        <w:rPr>
          <w:bCs/>
          <w:sz w:val="24"/>
          <w:szCs w:val="24"/>
        </w:rPr>
        <w:t xml:space="preserve">зчиком исключительной неустойки в размере 0,1 (ноль целых и одна десятая) процента от несвоевременно оплаченной суммы за каждый день просрочки.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white"/>
        </w:rPr>
      </w:pPr>
      <w:r>
        <w:rPr>
          <w:bCs/>
        </w:rPr>
        <w:t xml:space="preserve">В случае нарушения Подрядчиком обязательств по выполнению Работ, в том числе срока выполнения Работ, а также в случае несвоевременного устранения выявленных недостатков результатов Работ, Заказчик вправе потребовать уплаты Подрядчиком неустойки в </w:t>
      </w:r>
      <w:r>
        <w:rPr>
          <w:bCs/>
          <w:highlight w:val="white"/>
        </w:rPr>
        <w:t xml:space="preserve">размере 0,1 (ноль целых и одна десятая) процента от Цены Договора за каждый день просрочки.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numPr>
          <w:ilvl w:val="1"/>
          <w:numId w:val="17"/>
        </w:numPr>
        <w:ind w:left="0" w:firstLine="708"/>
        <w:jc w:val="both"/>
        <w:rPr>
          <w:bCs/>
        </w:rPr>
      </w:pPr>
      <w:r>
        <w:rPr>
          <w:bCs/>
          <w:highlight w:val="white"/>
        </w:rPr>
        <w:t xml:space="preserve">В случае нарушения Подрядчиком обязательств по выполнению работ, на срок свыше 60 (шестидесяти) календарных дней, Заказчик имеет п</w:t>
      </w:r>
      <w:r>
        <w:rPr>
          <w:bCs/>
        </w:rPr>
        <w:t xml:space="preserve">раво расторгнуть Договор в одностороннем внесудебном порядке, а также потребовать возмещения убытков.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охраны</w:t>
      </w:r>
      <w:r>
        <w:rPr>
          <w:bCs/>
        </w:rPr>
        <w:t xml:space="preserve"> 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№5 к Договору.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8"/>
        <w:jc w:val="both"/>
        <w:shd w:val="clear" w:color="auto" w:fill="ffffff"/>
        <w:tabs>
          <w:tab w:val="left" w:pos="0" w:leader="none"/>
        </w:tabs>
        <w:rPr>
          <w:bCs/>
          <w:highlight w:val="white"/>
        </w:rPr>
      </w:pPr>
      <w:r>
        <w:rPr>
          <w:bCs/>
        </w:rPr>
        <w:t xml:space="preserve">Если в результате составления и выставления Подрядчиком счетов-фактур (УПД) с нарушением порядка и требований, ус</w:t>
      </w:r>
      <w:r>
        <w:rPr>
          <w:bCs/>
        </w:rP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rPr>
          <w:bCs/>
        </w:rP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rPr>
          <w:bCs/>
        </w:rPr>
        <w:t xml:space="preserve">менного требования </w:t>
      </w:r>
      <w:r>
        <w:rPr>
          <w:bCs/>
          <w:highlight w:val="white"/>
        </w:rPr>
        <w:t xml:space="preserve">Заказчика. В случае нарушения Подрядчиком сроков предоставления счетов-фактур (УПД), установленных пунктом</w:t>
      </w:r>
      <w:r>
        <w:rPr>
          <w:bCs/>
          <w:highlight w:val="white"/>
        </w:rPr>
        <w:t xml:space="preserve"> 4.8 </w:t>
      </w:r>
      <w:r>
        <w:rPr>
          <w:bCs/>
          <w:highlight w:val="white"/>
        </w:rPr>
        <w:t xml:space="preserve">Договора, Заказчик вправе требовать уплаты Подрядчиком штрафа в размере 50 000 (пятидесяти тысяч) рублей за каждый случай нарушения.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несет ответственность перед Заказчиком за причи</w:t>
      </w:r>
      <w:r>
        <w:rPr>
          <w:bCs/>
        </w:rP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</w:t>
      </w:r>
      <w:r>
        <w:rPr>
          <w:bCs/>
        </w:rPr>
        <w:t xml:space="preserve">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bCs/>
        </w:rPr>
      </w:r>
      <w:r>
        <w:rPr>
          <w:bCs/>
        </w:rPr>
      </w:r>
    </w:p>
    <w:p>
      <w:pPr>
        <w:ind w:left="709" w:firstLine="0"/>
        <w:shd w:val="clear" w:color="auto" w:fill="ffffff"/>
        <w:tabs>
          <w:tab w:val="left" w:pos="1134" w:leader="none"/>
        </w:tabs>
      </w:pPr>
      <w:r/>
      <w:r/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Cs/>
        </w:rPr>
      </w:pPr>
      <w:r>
        <w:rPr>
          <w:bCs/>
        </w:rPr>
        <w:t xml:space="preserve">Гарантии качества Результата Работ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17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</w:rPr>
      </w:pPr>
      <w:r>
        <w:rPr>
          <w:highlight w:val="white"/>
        </w:rPr>
      </w:r>
      <w:bookmarkStart w:id="19" w:name="_Ref361337777"/>
      <w:r>
        <w:rPr>
          <w:sz w:val="24"/>
          <w:szCs w:val="24"/>
          <w:highlight w:val="white"/>
        </w:rPr>
        <w:t xml:space="preserve">Гарантийный</w:t>
      </w:r>
      <w:r>
        <w:rPr>
          <w:bCs/>
          <w:sz w:val="24"/>
          <w:szCs w:val="24"/>
          <w:highlight w:val="white"/>
        </w:rPr>
        <w:t xml:space="preserve"> срок составляет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24 </w:t>
      </w:r>
      <w:r>
        <w:rPr>
          <w:bCs/>
          <w:sz w:val="24"/>
          <w:szCs w:val="24"/>
          <w:highlight w:val="white"/>
        </w:rPr>
        <w:t xml:space="preserve">(двадца</w:t>
      </w:r>
      <w:r>
        <w:rPr>
          <w:bCs/>
          <w:sz w:val="24"/>
          <w:szCs w:val="24"/>
          <w:highlight w:val="white"/>
        </w:rPr>
        <w:t xml:space="preserve">ть четыре)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м</w:t>
      </w:r>
      <w:r>
        <w:rPr>
          <w:sz w:val="24"/>
          <w:szCs w:val="24"/>
          <w:highlight w:val="white"/>
        </w:rPr>
        <w:t xml:space="preserve">есяца</w:t>
      </w:r>
      <w:r>
        <w:rPr>
          <w:bCs/>
          <w:sz w:val="24"/>
          <w:szCs w:val="24"/>
          <w:highlight w:val="white"/>
        </w:rPr>
        <w:t xml:space="preserve"> и начинает течь с даты подписания Сторонами последнего А</w:t>
      </w:r>
      <w:r>
        <w:rPr>
          <w:sz w:val="24"/>
          <w:szCs w:val="24"/>
          <w:highlight w:val="white"/>
        </w:rPr>
        <w:t xml:space="preserve">кта </w:t>
      </w:r>
      <w:r>
        <w:rPr>
          <w:bCs/>
          <w:sz w:val="24"/>
          <w:szCs w:val="24"/>
          <w:highlight w:val="white"/>
        </w:rPr>
        <w:t xml:space="preserve">КС-2 по Объекту, </w:t>
      </w:r>
      <w:r>
        <w:rPr>
          <w:bCs/>
          <w:sz w:val="24"/>
          <w:szCs w:val="24"/>
          <w:highlight w:val="white"/>
        </w:rPr>
        <w:t xml:space="preserve">Акта приёмки </w:t>
      </w:r>
      <w:r>
        <w:rPr>
          <w:bCs/>
          <w:sz w:val="24"/>
          <w:szCs w:val="24"/>
          <w:highlight w:val="white"/>
        </w:rPr>
        <w:t xml:space="preserve">из ремонта </w:t>
      </w:r>
      <w:r>
        <w:rPr>
          <w:bCs/>
          <w:sz w:val="24"/>
          <w:szCs w:val="24"/>
          <w:highlight w:val="white"/>
        </w:rPr>
        <w:t xml:space="preserve">о</w:t>
      </w:r>
      <w:r>
        <w:rPr>
          <w:bCs/>
          <w:sz w:val="24"/>
          <w:szCs w:val="24"/>
          <w:highlight w:val="white"/>
        </w:rPr>
        <w:t xml:space="preserve">б</w:t>
      </w:r>
      <w:r>
        <w:rPr>
          <w:bCs/>
          <w:sz w:val="24"/>
          <w:szCs w:val="24"/>
          <w:highlight w:val="white"/>
        </w:rPr>
        <w:t xml:space="preserve">ъ</w:t>
      </w:r>
      <w:r>
        <w:rPr>
          <w:bCs/>
          <w:sz w:val="24"/>
          <w:szCs w:val="24"/>
          <w:highlight w:val="white"/>
        </w:rPr>
        <w:t xml:space="preserve">е</w:t>
      </w:r>
      <w:r>
        <w:rPr>
          <w:bCs/>
          <w:sz w:val="24"/>
          <w:szCs w:val="24"/>
          <w:highlight w:val="white"/>
        </w:rPr>
        <w:t xml:space="preserve">к</w:t>
      </w:r>
      <w:r>
        <w:rPr>
          <w:bCs/>
          <w:sz w:val="24"/>
          <w:szCs w:val="24"/>
          <w:highlight w:val="white"/>
        </w:rPr>
        <w:t xml:space="preserve">т</w:t>
      </w:r>
      <w:r>
        <w:rPr>
          <w:bCs/>
          <w:sz w:val="24"/>
          <w:szCs w:val="24"/>
          <w:highlight w:val="white"/>
        </w:rPr>
        <w:t xml:space="preserve">а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(Приложение №</w:t>
      </w:r>
      <w:bookmarkEnd w:id="19"/>
      <w:r>
        <w:rPr>
          <w:bCs/>
          <w:sz w:val="24"/>
          <w:szCs w:val="24"/>
          <w:highlight w:val="white"/>
        </w:rPr>
        <w:t xml:space="preserve">9</w:t>
      </w:r>
      <w:r>
        <w:rPr>
          <w:bCs/>
          <w:sz w:val="24"/>
          <w:szCs w:val="24"/>
          <w:highlight w:val="white"/>
        </w:rPr>
        <w:t xml:space="preserve"> к Договору) либо с даты прекращения (расторжения) Договора. Гарантийный срок может быть продлен в соответствии с условиями Д</w:t>
      </w:r>
      <w:r>
        <w:rPr>
          <w:bCs/>
          <w:sz w:val="24"/>
          <w:szCs w:val="24"/>
        </w:rPr>
        <w:t xml:space="preserve">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Гарантийные обязательства Подрядчика наступают с даты подписания Акта КС-2 либо даты прекращения (расторжения) Договора (подписания Сторонами соглашения о расторжении Договора, получения любой из Сторон уведомления об от</w:t>
      </w:r>
      <w:r>
        <w:rPr>
          <w:bCs/>
        </w:rPr>
        <w:t xml:space="preserve">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</w:t>
      </w:r>
      <w:r>
        <w:rPr>
          <w:bCs/>
        </w:rPr>
        <w:t xml:space="preserve">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0" w:name="_Ref361337764"/>
      <w:r>
        <w:rPr>
          <w:bCs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</w:t>
      </w:r>
      <w:r>
        <w:rPr>
          <w:bCs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0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Наличие и полный перечень недостатков,</w:t>
      </w:r>
      <w:r>
        <w:t xml:space="preserve"> </w:t>
      </w:r>
      <w:r>
        <w:rPr>
          <w:bCs/>
        </w:rPr>
        <w:t xml:space="preserve">несоотв</w:t>
      </w:r>
      <w:r>
        <w:rPr>
          <w:bCs/>
        </w:rPr>
        <w:t xml:space="preserve">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</w:t>
      </w:r>
      <w:r>
        <w:rPr>
          <w:bCs/>
        </w:rP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дефекты, обнаруженные Заказчиком в течение Гарантийного срока, в срок, указанный в </w:t>
      </w:r>
      <w:bookmarkStart w:id="21" w:name="OLE_LINK5"/>
      <w:r/>
      <w:bookmarkStart w:id="22" w:name="OLE_LINK6"/>
      <w:r>
        <w:rPr>
          <w:bCs/>
        </w:rPr>
        <w:t xml:space="preserve">Акте о недостатках, составленном в порядке, установленном пунктом 7.5 Договора</w:t>
      </w:r>
      <w:bookmarkEnd w:id="21"/>
      <w:r/>
      <w:bookmarkEnd w:id="22"/>
      <w:r>
        <w:rPr>
          <w:bCs/>
        </w:rPr>
        <w:t xml:space="preserve">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соотве</w:t>
      </w:r>
      <w:r>
        <w:rPr>
          <w:bCs/>
        </w:rPr>
        <w:t xml:space="preserve">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bCs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bCs/>
        </w:rPr>
        <w:t xml:space="preserve">Устранение недостатко</w:t>
      </w:r>
      <w:r>
        <w:rPr>
          <w:bCs/>
        </w:rPr>
        <w:t xml:space="preserve">в, несоответствий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  <w:r>
        <w:rPr>
          <w:color w:val="000000"/>
        </w:rPr>
      </w:r>
      <w:r>
        <w:rPr>
          <w:color w:val="000000"/>
        </w:rPr>
      </w:r>
    </w:p>
    <w:p>
      <w:pPr>
        <w:pStyle w:val="1085"/>
        <w:ind w:left="709"/>
        <w:jc w:val="both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Исключительные права и патенты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Результата Работ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 и ремонта.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если Заказчику будут предъявлены требования, связанные с нарушением </w:t>
      </w:r>
      <w:r>
        <w:rPr>
          <w:bCs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</w:rPr>
      </w:r>
      <w:r>
        <w:rPr>
          <w:bCs/>
        </w:rPr>
      </w:r>
    </w:p>
    <w:p>
      <w:pPr>
        <w:pStyle w:val="1085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мень</w:t>
      </w:r>
      <w:r>
        <w:rPr>
          <w:bCs/>
        </w:rPr>
        <w:t xml:space="preserve">ше срока эксплуатации Результата Работ, и в том объеме (пределах), который требуется для эксплуатации и ремонта Результата Работ.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исключительные пр</w:t>
      </w:r>
      <w:r>
        <w:rPr>
          <w:bCs/>
        </w:rPr>
        <w:t xml:space="preserve">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  <w:r>
        <w:rPr>
          <w:bCs/>
        </w:rPr>
      </w:r>
      <w:r>
        <w:rPr>
          <w:bCs/>
        </w:rPr>
      </w:r>
    </w:p>
    <w:p>
      <w:pPr>
        <w:pStyle w:val="1085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Конфиденциальность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0"/>
          <w:numId w:val="39"/>
        </w:numPr>
        <w:ind w:left="0" w:right="0" w:firstLine="709"/>
        <w:jc w:val="both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Коммерческой тайны;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0"/>
          <w:numId w:val="39"/>
        </w:numPr>
        <w:ind w:left="0" w:right="0" w:firstLine="709"/>
        <w:jc w:val="both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учетные регистры бухгалтерского учета;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бизнес-планы;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подрядчиках, поставщиках материалов, а также о покупателях продукции Заказчика и их аффилированных лицах;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0"/>
          <w:numId w:val="40"/>
        </w:numPr>
        <w:ind w:left="0" w:right="0" w:firstLine="1058"/>
        <w:jc w:val="both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3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23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разглашать, не обсуждать содержание, не предоставлят</w:t>
      </w:r>
      <w:r>
        <w:rPr>
          <w:bCs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Подря</w:t>
      </w:r>
      <w:r>
        <w:rPr>
          <w:bCs/>
        </w:rPr>
        <w:t xml:space="preserve">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24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4"/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5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5"/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1085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Антикоррупционная оговорка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15" w:leader="none"/>
        </w:tabs>
      </w:pPr>
      <w: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</w:t>
      </w:r>
      <w:r>
        <w:t xml:space="preserve">дставители не осуществляли, прямо или косвенно не 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представителем другой С</w:t>
      </w:r>
      <w: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25" w:leader="none"/>
        </w:tabs>
      </w:pPr>
      <w: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21" w:leader="none"/>
        </w:tabs>
      </w:pPr>
      <w: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25" w:leader="none"/>
        </w:tabs>
      </w:pPr>
      <w: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25" w:leader="none"/>
        </w:tabs>
      </w:pPr>
      <w: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</w:t>
      </w:r>
      <w:r>
        <w:t xml:space="preserve">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  Стороны в целом, так и для конкретных работников уведомившей Стороны, сообщивших о факте нарушении.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Каналы связи Линия доверия Группы РусГидро: </w:t>
      </w:r>
      <w:r/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Электронная почта: ld@rushydro.ru;</w:t>
      </w:r>
      <w:r/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110" w:leader="none"/>
          <w:tab w:val="left" w:pos="1418" w:leader="none"/>
        </w:tabs>
      </w:pPr>
      <w:r>
        <w:t xml:space="preserve">Специальная форма «обратной связи», размещенная на официальном сайте Общества в сети интернет: </w:t>
      </w:r>
      <w:hyperlink r:id="rId13" w:tooltip="http://www.rushydro.ru/" w:history="1">
        <w:r>
          <w:t xml:space="preserve">http://www.rushydro.ru/</w:t>
        </w:r>
      </w:hyperlink>
      <w:r>
        <w:t xml:space="preserve"> (далее перейти по ссылке «Линия доверия» и заполнить поля специальной формы «обратной связи»);</w:t>
      </w:r>
      <w:r/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/>
    </w:p>
    <w:p>
      <w:pPr>
        <w:ind w:firstLine="0"/>
        <w:spacing w:line="240" w:lineRule="auto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Обстоятельства непреодолимой силы (форс-мажор)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освоб</w:t>
      </w:r>
      <w:r>
        <w:rPr>
          <w:bCs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Надлежащим (достаточным) доказательством наличия/возникновения и про</w:t>
      </w:r>
      <w:r>
        <w:rPr>
          <w:bCs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bCs/>
        </w:rPr>
      </w:r>
      <w:r>
        <w:rPr>
          <w:bCs/>
        </w:rPr>
      </w:r>
    </w:p>
    <w:p>
      <w:pPr>
        <w:pStyle w:val="1085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pStyle w:val="1085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Особые положения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6" w:name="_Ref361337900"/>
      <w:r>
        <w:rPr>
          <w:bCs/>
        </w:rPr>
        <w:t xml:space="preserve">Подрядчик обязуется не привлекать и не допускать привлечения к исполнению обязательств по Договору организации: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0"/>
          <w:numId w:val="41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 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4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15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</w:t>
      </w:r>
      <w:r>
        <w:rPr>
          <w:bCs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0"/>
          <w:numId w:val="41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16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26"/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7" w:name="_Ref361337921"/>
      <w:r>
        <w:rPr>
          <w:bCs/>
        </w:rPr>
        <w:t xml:space="preserve">Подрядчик обязуется неза</w:t>
      </w:r>
      <w:r>
        <w:rPr>
          <w:bCs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27"/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8" w:name="_Ref361337948"/>
      <w:r>
        <w:rPr>
          <w:bCs/>
        </w:rPr>
        <w:t xml:space="preserve"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28"/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9" w:name="_Ref361337980"/>
      <w:r>
        <w:rPr>
          <w:bCs/>
        </w:rPr>
        <w:t xml:space="preserve">Подрядчик обязан уплатить Заказчику</w:t>
      </w:r>
      <w:r>
        <w:rPr>
          <w:bCs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12.1, 12.2 Договора.</w:t>
      </w:r>
      <w:bookmarkEnd w:id="29"/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0" w:name="_Ref373243071"/>
      <w:r>
        <w:rPr>
          <w:bCs/>
        </w:rPr>
        <w:t xml:space="preserve">Штраф, предусмотренный пунктом 12.4 Договора, оплачивается Подрядчиком в течение 10 (десяти) рабочих д</w:t>
      </w:r>
      <w:r>
        <w:rPr>
          <w:bCs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12.3 Договора.</w:t>
      </w:r>
      <w:bookmarkEnd w:id="30"/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1" w:name="_Ref361337992"/>
      <w:r>
        <w:rPr>
          <w:bCs/>
        </w:rPr>
        <w:t xml:space="preserve">Заказчик вправе приостановить осуществление любых платежей по Договору, причитающи</w:t>
      </w:r>
      <w:r>
        <w:rPr>
          <w:bCs/>
        </w:rP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12.4. Договора. При этом Заказчик не будет считаться просрочившим и / или нарушившим свои обязательства по Договору.</w:t>
      </w:r>
      <w:bookmarkEnd w:id="31"/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12.4, 12.5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  <w:r>
        <w:rPr>
          <w:bCs/>
        </w:rPr>
      </w:r>
    </w:p>
    <w:p>
      <w:pPr>
        <w:pStyle w:val="1085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</w:pPr>
      <w:r>
        <w:rPr>
          <w:bCs/>
        </w:rPr>
        <w:t xml:space="preserve">Заверения</w:t>
      </w:r>
      <w:r>
        <w:t xml:space="preserve"> Сторон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/>
    </w:p>
    <w:p>
      <w:pPr>
        <w:pStyle w:val="1085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1085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1085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1085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1085"/>
        <w:numPr>
          <w:ilvl w:val="0"/>
          <w:numId w:val="4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Подрядчик заявляет и заверяет Заказчика в том, что на момент заключения Договора:</w:t>
      </w:r>
      <w:r/>
    </w:p>
    <w:p>
      <w:pPr>
        <w:pStyle w:val="1085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1085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руководителем Подрядчика является лицо, не являющееся массовым руководителем;</w:t>
      </w:r>
      <w:r/>
    </w:p>
    <w:p>
      <w:pPr>
        <w:pStyle w:val="1085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фактически находится по адресу, указанному в Едином государственном реестре юридических лиц; </w:t>
      </w:r>
      <w:r/>
    </w:p>
    <w:p>
      <w:pPr>
        <w:pStyle w:val="1085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085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567" w:leader="none"/>
        </w:tabs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/>
    </w:p>
    <w:p>
      <w:pPr>
        <w:pStyle w:val="1085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/>
    </w:p>
    <w:p>
      <w:pPr>
        <w:pStyle w:val="1085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тщательно изучил всю информацию, связанную с Догов</w:t>
      </w:r>
      <w: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1085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085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085"/>
        <w:numPr>
          <w:ilvl w:val="0"/>
          <w:numId w:val="43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numPr>
          <w:ilvl w:val="1"/>
          <w:numId w:val="17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В случае если </w:t>
      </w:r>
      <w:r>
        <w:rPr>
          <w:bCs/>
        </w:rPr>
        <w:t xml:space="preserve"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 xml:space="preserve"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1085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/>
      <w:r/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</w:pPr>
      <w:r>
        <w:rPr>
          <w:bCs/>
        </w:rPr>
        <w:t xml:space="preserve">П</w:t>
      </w:r>
      <w:r>
        <w:t xml:space="preserve">рекращение (расторжение) Договора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</w:t>
      </w:r>
      <w:r>
        <w:t xml:space="preserve">е в порядке, предусмотренном пунктом 16.7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вправе в любое время до сдачи ему Результатов Работ в односторонне</w:t>
      </w:r>
      <w:r>
        <w:t xml:space="preserve">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 </w:t>
      </w:r>
      <w:r/>
    </w:p>
    <w:p>
      <w:pPr>
        <w:pStyle w:val="1085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Возмещение убытков Подрядчика, вызванных отказом от Договора (исполнения Договора), Заказчиком не производится.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1085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t xml:space="preserve"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</w:t>
      </w:r>
      <w:r>
        <w:rPr>
          <w:highlight w:val="white"/>
        </w:rPr>
        <w:t xml:space="preserve">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Стороны установили, что существенным нарушением Договора Подрядчиком является: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0"/>
          <w:numId w:val="45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Подрядчиком начального и конечного сроков выполнения Работ по Договору, более чем на 60 (шестьдесят) календарных дней по причинам, не зависящим от Заказчика;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0"/>
          <w:numId w:val="44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несоблюдение Подрядчиком требований к качеству Работ и / или используемых при выполнении Работ Мате</w:t>
      </w:r>
      <w:r>
        <w:rPr>
          <w:highlight w:val="white"/>
        </w:rPr>
        <w:t xml:space="preserve">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0"/>
          <w:numId w:val="44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принятие актов государственных органов или организаций, лишающих Подрядчика в установленном порядке права на производство Работ по Договору;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0"/>
          <w:numId w:val="44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</w:t>
      </w:r>
      <w:r>
        <w:rPr>
          <w:highlight w:val="white"/>
        </w:rPr>
        <w:t xml:space="preserve">лицензий;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0"/>
          <w:numId w:val="44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наложение ареста на имущество Подрядчика, введение арбитражным судо</w:t>
      </w:r>
      <w:r>
        <w:rPr>
          <w:highlight w:val="white"/>
        </w:rPr>
        <w:t xml:space="preserve">м процедуры несостоятельности (банкротства) в отношении Подрядчика;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0"/>
          <w:numId w:val="44"/>
        </w:numPr>
        <w:ind w:left="0" w:right="23" w:firstLine="709"/>
        <w:jc w:val="both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0"/>
          <w:numId w:val="44"/>
        </w:numPr>
        <w:ind w:left="0" w:right="23" w:firstLine="709"/>
        <w:jc w:val="both"/>
        <w:tabs>
          <w:tab w:val="left" w:pos="1134" w:leader="none"/>
        </w:tabs>
      </w:pPr>
      <w:r>
        <w:rPr>
          <w:highlight w:val="white"/>
        </w:rPr>
        <w:t xml:space="preserve">установление в ходе</w:t>
      </w:r>
      <w:r>
        <w:t xml:space="preserve"> исполнения Договора фактов несоответствия Подрядчика установленным документацией о закупке требованиям к участникам закупки и / или предоставлен</w:t>
      </w:r>
      <w: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Договора, и имеющих существенное значение для его заключения и исполнения.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</w:t>
      </w:r>
      <w:r>
        <w:t xml:space="preserve">лучае отказа Заказчика от Договора в случаях, предусмотренных пунктами 14.2, 14.3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 (-ов)), и в согласованные Сторонами сроки:</w:t>
      </w:r>
      <w:r/>
    </w:p>
    <w:p>
      <w:pPr>
        <w:pStyle w:val="1085"/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t xml:space="preserve">- передать Заказчику Результат Работ, техническую и иную полученную документацию;</w:t>
      </w:r>
      <w:r>
        <w:rPr>
          <w:highlight w:val="none"/>
        </w:rPr>
      </w:r>
      <w:r>
        <w:rPr>
          <w:highlight w:val="none"/>
        </w:rPr>
      </w:r>
    </w:p>
    <w:p>
      <w:pPr>
        <w:pStyle w:val="1085"/>
        <w:ind w:left="0" w:righ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none"/>
        </w:rPr>
      </w:r>
      <w:r>
        <w:rPr>
          <w:highlight w:val="none"/>
        </w:rPr>
        <w:t xml:space="preserve">–</w:t>
        <w:tab/>
        <w:t xml:space="preserve">вывезти с места производства Работ собственную строительную технику и персонал Подрядчика; </w:t>
      </w:r>
      <w:r>
        <w:rPr>
          <w:highlight w:val="none"/>
        </w:rPr>
      </w:r>
      <w:r/>
    </w:p>
    <w:p>
      <w:pPr>
        <w:pStyle w:val="1085"/>
        <w:ind w:left="0" w:right="0" w:firstLine="709"/>
        <w:jc w:val="both"/>
        <w:shd w:val="clear" w:color="auto" w:fill="ffffff"/>
        <w:tabs>
          <w:tab w:val="left" w:pos="1418" w:leader="none"/>
        </w:tabs>
      </w:pPr>
      <w:r>
        <w:t xml:space="preserve">-удалить с места производства Работ весь мусор и все остаточные продукты любого рода и оставить </w:t>
      </w:r>
      <w:r>
        <w:rPr>
          <w:rFonts w:cs="Verdana"/>
        </w:rPr>
        <w:t xml:space="preserve">место производства работ чистым и безопасным.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</w:t>
      </w:r>
      <w:r>
        <w:t xml:space="preserve">ключением обязательств по незавершенным расчетам, гарантийным обязательствам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pStyle w:val="1085"/>
        <w:ind w:left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Споры, указанные в пункте 15.1 Договора, которые не были урегулированы Сторонами путем переговоров, подлежат разрешению в Арбитражном суде Приморского края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Сторонами применяется обязательный </w:t>
      </w:r>
      <w:r>
        <w:rPr>
          <w:bCs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1085"/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Заключительные положения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Договор вступает в силу с даты его подписания Стор</w:t>
      </w:r>
      <w:r>
        <w:rPr>
          <w:highlight w:val="white"/>
        </w:rPr>
        <w:t xml:space="preserve">онами и действует по </w:t>
      </w:r>
      <w:r>
        <w:rPr>
          <w:highlight w:val="white"/>
        </w:rPr>
        <w:t xml:space="preserve">30.12.2026</w:t>
      </w:r>
      <w:r>
        <w:rPr>
          <w:highlight w:val="white"/>
        </w:rPr>
        <w:t xml:space="preserve">, а в</w:t>
      </w:r>
      <w:r>
        <w:rPr>
          <w:highlight w:val="white"/>
        </w:rPr>
        <w:t xml:space="preserve"> части неисполненных обязательств - до полного их исполнения Сторонами.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highlight w:val="white"/>
        </w:rPr>
        <w:t xml:space="preserve">Все изменения </w:t>
      </w:r>
      <w:r>
        <w:rPr>
          <w:highlight w:val="white"/>
        </w:rPr>
        <w:t xml:space="preserve">и дополнения к Договору действительны при условии, что они совершены в</w:t>
      </w:r>
      <w:r>
        <w:t xml:space="preserve">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16.6 Договора. 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</w:t>
      </w:r>
      <w:r>
        <w:t xml:space="preserve">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/>
      <w:bookmarkStart w:id="32" w:name="_Ref361338004"/>
      <w:r>
        <w:t xml:space="preserve">Стороны обязуются уведомлять друг друга об изменении адреса и / или реквизитов,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2"/>
      <w:r>
        <w:t xml:space="preserve"> 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3" w:name="_Ref361338019"/>
      <w:r>
        <w:t xml:space="preserve">Письма, уведомления и / 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полученным:</w:t>
      </w:r>
      <w:bookmarkEnd w:id="33"/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/>
      <w:bookmarkStart w:id="34" w:name="_Ref361338032"/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заказным п</w:t>
      </w:r>
      <w:r>
        <w:rPr>
          <w:bCs/>
        </w:rPr>
        <w:t xml:space="preserve">очтовым отп</w:t>
      </w:r>
      <w:r>
        <w:rPr>
          <w:bCs/>
        </w:rPr>
        <w:t xml:space="preserve">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</w:t>
      </w:r>
      <w:r>
        <w:rPr>
          <w:bCs/>
        </w:rPr>
        <w:t xml:space="preserve">;</w:t>
      </w:r>
      <w:bookmarkEnd w:id="34"/>
      <w:r>
        <w:rPr>
          <w:bCs/>
        </w:rPr>
      </w:r>
      <w:r>
        <w:rPr>
          <w:bCs/>
        </w:rPr>
      </w:r>
    </w:p>
    <w:p>
      <w:pPr>
        <w:pStyle w:val="1085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rPr>
          <w:rFonts w:eastAsia="Calibri"/>
          <w:highlight w:val="white"/>
          <w:lang w:eastAsia="en-US"/>
        </w:rPr>
      </w:r>
      <w:r>
        <w:t xml:space="preserve">п</w:t>
      </w:r>
      <w:r>
        <w:t xml:space="preserve">осредством электронной почты (e-mail) – в дату направления электронного сообщения, зафиксированную на почтовом сервере отправителя.</w:t>
      </w:r>
      <w:r/>
    </w:p>
    <w:p>
      <w:pPr>
        <w:pStyle w:val="1085"/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Оригиналы </w:t>
      </w:r>
      <w:r>
        <w:rPr>
          <w:bCs/>
        </w:rPr>
        <w:t xml:space="preserve">документов, направленных </w:t>
      </w:r>
      <w:r>
        <w:rPr>
          <w:rFonts w:eastAsia="Calibri"/>
          <w:lang w:eastAsia="en-US"/>
        </w:rPr>
        <w:t xml:space="preserve">посредством электронной почты</w:t>
      </w:r>
      <w:r>
        <w:rPr>
          <w:bCs/>
        </w:rPr>
        <w:t xml:space="preserve">, должны не позднее следующего рабочего дня быть направлены Стороной-отправителем способами, указанными в пунктах 16.7.1-16.7.2 Договора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17"/>
        </w:numPr>
        <w:ind w:left="0" w:firstLine="709"/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rPr>
          <w:bCs/>
        </w:rPr>
        <w:t xml:space="preserve">.</w:t>
      </w:r>
      <w:r>
        <w:t xml:space="preserve">  </w:t>
      </w:r>
      <w:r>
        <w:rPr>
          <w:bCs/>
        </w:rPr>
      </w:r>
      <w:r>
        <w:rPr>
          <w:bCs/>
        </w:rPr>
      </w:r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568" w:leader="none"/>
        </w:tabs>
      </w:pPr>
      <w:r>
        <w:t xml:space="preserve">Стороны договорились в рамках исполнения Договора о возможности</w:t>
      </w:r>
      <w:r>
        <w:br/>
        <w:t xml:space="preserve">применения электронного документооборота, руков</w:t>
      </w:r>
      <w:r>
        <w:t xml:space="preserve">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 Соглашения, а также Регламентами предоставления услуг Операторов</w:t>
      </w:r>
      <w:r>
        <w:br/>
        <w:t xml:space="preserve">Удостоверяющих центров. Передача электронных документов осуществляется через АО «ПФ «СКБ Контур» с использованием web-решения Диадок (</w:t>
      </w:r>
      <w:hyperlink r:id="rId17" w:tooltip="Click to open https://www.diadoc.ru/" w:history="1">
        <w:r>
          <w:t xml:space="preserve">https://www.diadoc.ru/</w:t>
        </w:r>
      </w:hyperlink>
      <w:r>
        <w:t xml:space="preserve">). В случае использования Подрядчиком другого оператора электронного документооборота (аккредитованного ФНС РФ), Заказчик, при наличии технической возможности у</w:t>
      </w:r>
      <w:r>
        <w:br/>
        <w:t xml:space="preserve">используемых Заказчиком операторов, инициирует настройку роуминга между операторами систем электронного документооборота Сторон. </w:t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568" w:leader="none"/>
        </w:tabs>
      </w:pPr>
      <w:r>
        <w:rPr>
          <w:highlight w:val="none"/>
        </w:rPr>
        <w:t xml:space="preserve">С</w:t>
      </w:r>
      <w:r>
        <w:rPr>
          <w:highlight w:val="none"/>
        </w:rPr>
        <w:t xml:space="preserve">тороны обязуются соблюдать требования, указанные в постановлении Правительства Российской Федерации от 23 декабря 2024 г. №1875 «О мерах по предоставлению национального режима при осуществлении закупок товаров, работ, услуг для обеспечения государственных </w:t>
      </w:r>
      <w:r>
        <w:rPr>
          <w:highlight w:val="none"/>
        </w:rPr>
        <w:t xml:space="preserve">и муниципальных нужд, закупок товаров, работ, услуг отдельными видами юридических лиц», в части закупок материально-технических ресурсов.</w:t>
      </w:r>
      <w:r>
        <w:rPr>
          <w:highlight w:val="none"/>
        </w:rPr>
      </w:r>
      <w:r/>
    </w:p>
    <w:p>
      <w:pPr>
        <w:pStyle w:val="1085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Настоящий Договор заключается в электронной форме с использованием программно-аппаратных средств электронной торговой площадки путем его подписания усиленными квалифицированными электронными подписями уполномоченных представителей Сторон.</w:t>
      </w:r>
      <w:r/>
    </w:p>
    <w:p>
      <w:pPr>
        <w:pStyle w:val="1085"/>
        <w:numPr>
          <w:ilvl w:val="1"/>
          <w:numId w:val="17"/>
        </w:numPr>
        <w:ind w:left="0" w:firstLine="709"/>
        <w:widowControl w:val="off"/>
        <w:tabs>
          <w:tab w:val="left" w:pos="0" w:leader="none"/>
        </w:tabs>
        <w:rPr>
          <w:bCs/>
        </w:rPr>
      </w:pPr>
      <w:r>
        <w:rPr>
          <w:bCs/>
        </w:rPr>
        <w:t xml:space="preserve"> Реквизиты для заполнения счетов – фактур (УПД):</w:t>
      </w:r>
      <w:r>
        <w:rPr>
          <w:bCs/>
        </w:rPr>
      </w:r>
      <w:r>
        <w:rPr>
          <w:bCs/>
        </w:rPr>
      </w:r>
    </w:p>
    <w:p>
      <w:pPr>
        <w:pStyle w:val="1085"/>
        <w:ind w:left="709"/>
        <w:widowControl w:val="off"/>
        <w:tabs>
          <w:tab w:val="left" w:pos="1276" w:leader="none"/>
        </w:tabs>
        <w:rPr>
          <w:highlight w:val="none"/>
        </w:rPr>
      </w:pPr>
      <w:r>
        <w:rPr>
          <w:bCs/>
        </w:rPr>
        <w:t xml:space="preserve">Покупатель (строка 6): АО «ДГК»</w:t>
      </w:r>
      <w:r>
        <w:rPr>
          <w:highlight w:val="none"/>
        </w:rPr>
      </w:r>
      <w:r>
        <w:rPr>
          <w:highlight w:val="none"/>
        </w:rPr>
      </w:r>
    </w:p>
    <w:p>
      <w:pPr>
        <w:pStyle w:val="1085"/>
        <w:ind w:left="709"/>
        <w:widowControl w:val="off"/>
        <w:tabs>
          <w:tab w:val="left" w:pos="1276" w:leader="none"/>
        </w:tabs>
        <w:rPr>
          <w:bCs/>
        </w:rPr>
      </w:pPr>
      <w:r>
        <w:rPr>
          <w:bCs/>
        </w:rPr>
        <w:t xml:space="preserve">Адрес (строка 6а): 680000, г. Хабаровск, ул. Фрунзе, 49 </w:t>
      </w:r>
      <w:r>
        <w:rPr>
          <w:bCs/>
        </w:rPr>
      </w:r>
      <w:r>
        <w:rPr>
          <w:bCs/>
        </w:rPr>
      </w:r>
    </w:p>
    <w:p>
      <w:pPr>
        <w:pStyle w:val="1085"/>
        <w:ind w:left="709"/>
        <w:widowControl w:val="off"/>
        <w:tabs>
          <w:tab w:val="left" w:pos="1276" w:leader="none"/>
        </w:tabs>
        <w:rPr>
          <w:bCs/>
        </w:rPr>
      </w:pPr>
      <w:r>
        <w:rPr>
          <w:bCs/>
        </w:rPr>
        <w:t xml:space="preserve">ИНН/КПП (строка 6б): 1434031363/253645001.</w:t>
      </w:r>
      <w:r>
        <w:rPr>
          <w:bCs/>
        </w:rPr>
      </w:r>
      <w:r>
        <w:rPr>
          <w:bCs/>
        </w:rPr>
      </w:r>
    </w:p>
    <w:p>
      <w:pPr>
        <w:ind w:left="709" w:firstLine="0"/>
        <w:widowControl w:val="off"/>
        <w:tabs>
          <w:tab w:val="left" w:pos="0" w:leader="none"/>
        </w:tabs>
      </w:pPr>
      <w:r/>
      <w:r/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Список приложений</w:t>
      </w:r>
      <w:r>
        <w:rPr>
          <w:bCs/>
        </w:rPr>
      </w:r>
      <w:r>
        <w:rPr>
          <w:bCs/>
        </w:rPr>
      </w:r>
    </w:p>
    <w:p>
      <w:pPr>
        <w:pStyle w:val="1085"/>
        <w:ind w:left="0"/>
        <w:jc w:val="both"/>
        <w:shd w:val="clear" w:color="auto" w:fill="ffffff"/>
        <w:rPr>
          <w:bCs/>
          <w:highlight w:val="white"/>
        </w:rPr>
      </w:pPr>
      <w:r>
        <w:rPr>
          <w:highlight w:val="white"/>
        </w:rPr>
        <w:t xml:space="preserve">Приложение №</w:t>
      </w:r>
      <w:r>
        <w:rPr>
          <w:bCs/>
          <w:highlight w:val="white"/>
        </w:rPr>
        <w:t xml:space="preserve">1 – Техническое задание (с приложениями №1.1, №1.2).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№2 – Сводный сметный расчет  (с приложениями №2.1, №2.2).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white"/>
        </w:rPr>
        <w:t xml:space="preserve">Приложение №3 – Форма а</w:t>
      </w:r>
      <w:r>
        <w:rPr>
          <w:highlight w:val="white"/>
        </w:rPr>
        <w:t xml:space="preserve">кта предремонтного обследования объекта.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</w:rPr>
      </w:pPr>
      <w:r>
        <w:rPr>
          <w:bCs/>
          <w:sz w:val="24"/>
        </w:rPr>
        <w:t xml:space="preserve">Приложение </w:t>
      </w:r>
      <w:r>
        <w:rPr>
          <w:bCs/>
          <w:sz w:val="24"/>
          <w:szCs w:val="24"/>
        </w:rPr>
        <w:t xml:space="preserve">№ 4 – Перечень допусков, разрешений и лицензий Подрядчика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78" w:firstLine="0"/>
        <w:spacing w:line="276" w:lineRule="exact"/>
        <w:shd w:val="clear" w:color="auto" w:fill="ffffff"/>
        <w:widowControl w:val="off"/>
        <w:tabs>
          <w:tab w:val="left" w:pos="50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№5 –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78" w:firstLine="0"/>
        <w:spacing w:line="276" w:lineRule="exact"/>
        <w:shd w:val="clear" w:color="auto" w:fill="ffffff"/>
        <w:widowControl w:val="off"/>
        <w:tabs>
          <w:tab w:val="left" w:pos="50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№6 </w:t>
      </w:r>
      <w:r>
        <w:rPr>
          <w:bCs/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Акт готовности здания, сооружения к производству ремонтных работ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№7 </w:t>
      </w:r>
      <w:r>
        <w:rPr>
          <w:bCs/>
          <w:sz w:val="24"/>
          <w:szCs w:val="24"/>
        </w:rPr>
        <w:t xml:space="preserve">–</w:t>
      </w:r>
      <w:r>
        <w:rPr>
          <w:sz w:val="24"/>
          <w:szCs w:val="24"/>
        </w:rPr>
        <w:t xml:space="preserve"> Информация о цепочке собственников.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№8 </w:t>
      </w:r>
      <w:r>
        <w:rPr>
          <w:bCs/>
          <w:sz w:val="24"/>
          <w:szCs w:val="24"/>
        </w:rPr>
        <w:t xml:space="preserve">–</w:t>
      </w:r>
      <w:r>
        <w:rPr>
          <w:sz w:val="24"/>
          <w:szCs w:val="24"/>
        </w:rPr>
        <w:t xml:space="preserve"> Форма в</w:t>
      </w:r>
      <w:r>
        <w:rPr>
          <w:color w:val="000000"/>
          <w:sz w:val="24"/>
          <w:szCs w:val="24"/>
        </w:rPr>
        <w:t xml:space="preserve">едомости планируемых ремонтно-строительных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№9 – </w:t>
      </w:r>
      <w:r>
        <w:rPr>
          <w:bCs/>
          <w:sz w:val="24"/>
          <w:szCs w:val="24"/>
        </w:rPr>
        <w:t xml:space="preserve">Форма акта приёмки из ремонта объекта.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№10 </w:t>
      </w:r>
      <w:r>
        <w:rPr>
          <w:bCs/>
          <w:sz w:val="24"/>
          <w:szCs w:val="24"/>
        </w:rPr>
        <w:t xml:space="preserve">–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Форма справки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 заключенных договорах Подрядчика по договору с Субподрядчиками, являющимися субъектами малого и среднего предпринимательства.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0"/>
        <w:spacing w:line="240" w:lineRule="auto"/>
        <w:widowControl w:val="off"/>
        <w:tabs>
          <w:tab w:val="left" w:pos="2552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Приложение №11 </w:t>
      </w:r>
      <w:r>
        <w:rPr>
          <w:bCs/>
          <w:sz w:val="24"/>
          <w:szCs w:val="24"/>
        </w:rPr>
        <w:t xml:space="preserve">–</w:t>
      </w:r>
      <w:r>
        <w:rPr>
          <w:sz w:val="24"/>
          <w:szCs w:val="24"/>
        </w:rPr>
        <w:t xml:space="preserve"> Форма табеля учета рабочего времени Подрядчика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5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№12 – Форма акта сдачи-приемки места производства работ, места (помещения) для складирования Материально-технических ресурсов.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ind w:left="0"/>
        <w:jc w:val="both"/>
        <w:shd w:val="clear" w:color="auto" w:fill="ffffff"/>
        <w:rPr>
          <w:bCs/>
          <w:highlight w:val="white"/>
        </w:rPr>
      </w:pPr>
      <w:r>
        <w:rPr>
          <w:bCs/>
          <w:highlight w:val="white"/>
        </w:rPr>
        <w:t xml:space="preserve">Приложение №12.1 – Форма акта сдачи-приемки технической и иной документации.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pStyle w:val="1085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white"/>
        </w:rPr>
        <w:t xml:space="preserve">Приложение №13 –Форма ак</w:t>
      </w:r>
      <w:r>
        <w:rPr>
          <w:sz w:val="24"/>
          <w:szCs w:val="24"/>
          <w:highlight w:val="white"/>
        </w:rPr>
        <w:t xml:space="preserve">та освидетельствования скрытых работ</w:t>
      </w:r>
      <w:r>
        <w:rPr>
          <w:sz w:val="24"/>
          <w:szCs w:val="24"/>
          <w:highlight w:val="whit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85"/>
        <w:ind w:left="0"/>
        <w:jc w:val="both"/>
        <w:shd w:val="clear" w:color="auto" w:fill="ffffff"/>
        <w:rPr>
          <w:highlight w:val="white"/>
        </w:rPr>
      </w:pPr>
      <w:r>
        <w:rPr>
          <w:bCs/>
          <w:highlight w:val="none"/>
        </w:rPr>
      </w:r>
      <w:r>
        <w:rPr>
          <w:bCs/>
          <w:highlight w:val="white"/>
        </w:rPr>
        <w:t xml:space="preserve">Приложение №1</w:t>
      </w:r>
      <w:r>
        <w:rPr>
          <w:bCs/>
          <w:highlight w:val="white"/>
        </w:rPr>
        <w:t xml:space="preserve">4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-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Форма журнала производства антикоррозионных работ.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white"/>
        </w:rPr>
        <w:t xml:space="preserve">Приложение №15</w:t>
      </w:r>
      <w:r>
        <w:rPr>
          <w:bCs/>
          <w:highlight w:val="white"/>
        </w:rPr>
        <w:t xml:space="preserve"> - </w:t>
      </w:r>
      <w:r>
        <w:rPr>
          <w:bCs/>
          <w:highlight w:val="white"/>
        </w:rPr>
        <w:t xml:space="preserve">Форма акта приемки защитного покрытия</w:t>
      </w:r>
      <w:r>
        <w:rPr>
          <w:bCs/>
          <w:highlight w:val="whit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85"/>
        <w:ind w:left="0"/>
        <w:jc w:val="both"/>
        <w:shd w:val="clear" w:color="auto" w:fill="ffffff"/>
        <w:rPr>
          <w:highlight w:val="white"/>
        </w:rPr>
      </w:pPr>
      <w:r>
        <w:rPr>
          <w:highlight w:val="white"/>
        </w:rPr>
      </w:r>
      <w:r>
        <w:rPr>
          <w:bCs/>
          <w:highlight w:val="white"/>
        </w:rPr>
        <w:t xml:space="preserve">Приложение №16</w:t>
      </w:r>
      <w:r>
        <w:rPr>
          <w:bCs/>
          <w:highlight w:val="white"/>
        </w:rPr>
        <w:t xml:space="preserve"> - </w:t>
      </w:r>
      <w:r>
        <w:rPr>
          <w:bCs/>
          <w:highlight w:val="white"/>
        </w:rPr>
        <w:t xml:space="preserve">Форма акта замера толщины лакокрасочного покрытия</w:t>
      </w:r>
      <w:r>
        <w:rPr>
          <w:bCs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ind w:left="0"/>
        <w:jc w:val="both"/>
        <w:shd w:val="clear" w:color="auto" w:fill="ffffff"/>
        <w:rPr>
          <w:highlight w:val="white"/>
        </w:rPr>
      </w:pPr>
      <w:r>
        <w:rPr>
          <w:highlight w:val="non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1085"/>
        <w:numPr>
          <w:ilvl w:val="0"/>
          <w:numId w:val="17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</w:rPr>
      </w:pPr>
      <w:r>
        <w:rPr>
          <w:bCs/>
        </w:rPr>
        <w:t xml:space="preserve">Адреса и платежные реквизиты Сторон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4928"/>
        <w:gridCol w:w="5245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pStyle w:val="1085"/>
              <w:ind w:left="0"/>
              <w:shd w:val="clear" w:color="auto" w:fill="ffffff"/>
              <w:tabs>
                <w:tab w:val="left" w:pos="426" w:leader="none"/>
              </w:tabs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pStyle w:val="1085"/>
              <w:ind w:left="0"/>
              <w:shd w:val="clear" w:color="auto" w:fill="ffffff"/>
              <w:tabs>
                <w:tab w:val="left" w:pos="426" w:leader="none"/>
              </w:tabs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 xml:space="preserve">ЗАКАЗЧИК: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pStyle w:val="1085"/>
              <w:shd w:val="clear" w:color="auto" w:fill="ffffff"/>
              <w:tabs>
                <w:tab w:val="left" w:pos="426" w:leader="none"/>
              </w:tabs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pStyle w:val="1085"/>
              <w:shd w:val="clear" w:color="auto" w:fill="ffffff"/>
              <w:tabs>
                <w:tab w:val="left" w:pos="426" w:leader="none"/>
              </w:tabs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  <w:t xml:space="preserve">ПОДРЯДЧИК: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</w:tc>
      </w:tr>
    </w:tbl>
    <w:p>
      <w:r/>
      <w:r/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737" w:bottom="567" w:left="1417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1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</w:t>
    </w:r>
    <w:r>
      <w:rPr>
        <w:sz w:val="24"/>
        <w:szCs w:val="24"/>
      </w:rPr>
      <w:fldChar w:fldCharType="end"/>
    </w:r>
    <w:r/>
  </w:p>
  <w:p>
    <w:pPr>
      <w:pStyle w:val="110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0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pStyle w:val="1116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17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18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19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bullet"/>
      <w:pStyle w:val="1094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03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pStyle w:val="1126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127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pStyle w:val="1086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87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88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91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435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507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651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723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5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8673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color w:val="auto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22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913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3633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4353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5073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5793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6513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7233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53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8673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eastAsia="Wingdings" w:cs="Wingdings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8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30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15"/>
  </w:num>
  <w:num w:numId="3">
    <w:abstractNumId w:val="11"/>
  </w:num>
  <w:num w:numId="4">
    <w:abstractNumId w:val="13"/>
  </w:num>
  <w:num w:numId="5">
    <w:abstractNumId w:val="22"/>
  </w:num>
  <w:num w:numId="6">
    <w:abstractNumId w:val="29"/>
  </w:num>
  <w:num w:numId="7">
    <w:abstractNumId w:val="16"/>
  </w:num>
  <w:num w:numId="8">
    <w:abstractNumId w:val="31"/>
  </w:num>
  <w:num w:numId="9">
    <w:abstractNumId w:val="27"/>
  </w:num>
  <w:num w:numId="10">
    <w:abstractNumId w:val="32"/>
  </w:num>
  <w:num w:numId="11">
    <w:abstractNumId w:val="21"/>
  </w:num>
  <w:num w:numId="12">
    <w:abstractNumId w:val="6"/>
  </w:num>
  <w:num w:numId="13">
    <w:abstractNumId w:val="2"/>
  </w:num>
  <w:num w:numId="14">
    <w:abstractNumId w:val="8"/>
  </w:num>
  <w:num w:numId="15">
    <w:abstractNumId w:val="9"/>
  </w:num>
  <w:num w:numId="16">
    <w:abstractNumId w:val="24"/>
  </w:num>
  <w:num w:numId="17">
    <w:abstractNumId w:val="18"/>
  </w:num>
  <w:num w:numId="18">
    <w:abstractNumId w:val="33"/>
  </w:num>
  <w:num w:numId="19">
    <w:abstractNumId w:val="23"/>
  </w:num>
  <w:num w:numId="20">
    <w:abstractNumId w:val="10"/>
  </w:num>
  <w:num w:numId="21">
    <w:abstractNumId w:val="19"/>
  </w:num>
  <w:num w:numId="22">
    <w:abstractNumId w:val="34"/>
  </w:num>
  <w:num w:numId="23">
    <w:abstractNumId w:val="30"/>
  </w:num>
  <w:num w:numId="24">
    <w:abstractNumId w:val="4"/>
  </w:num>
  <w:num w:numId="25">
    <w:abstractNumId w:val="35"/>
  </w:num>
  <w:num w:numId="26">
    <w:abstractNumId w:val="20"/>
  </w:num>
  <w:num w:numId="27">
    <w:abstractNumId w:val="36"/>
  </w:num>
  <w:num w:numId="28">
    <w:abstractNumId w:val="12"/>
  </w:num>
  <w:num w:numId="29">
    <w:abstractNumId w:val="3"/>
  </w:num>
  <w:num w:numId="30">
    <w:abstractNumId w:val="1"/>
  </w:num>
  <w:num w:numId="31">
    <w:abstractNumId w:val="17"/>
  </w:num>
  <w:num w:numId="32">
    <w:abstractNumId w:val="26"/>
  </w:num>
  <w:num w:numId="33">
    <w:abstractNumId w:val="25"/>
  </w:num>
  <w:num w:numId="34">
    <w:abstractNumId w:val="7"/>
  </w:num>
  <w:num w:numId="35">
    <w:abstractNumId w:val="0"/>
  </w:num>
  <w:num w:numId="36">
    <w:abstractNumId w:val="14"/>
  </w:num>
  <w:num w:numId="37">
    <w:abstractNumId w:val="5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70">
    <w:name w:val="Plain Table 1"/>
    <w:basedOn w:val="9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1">
    <w:name w:val="Plain Table 2"/>
    <w:basedOn w:val="9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2">
    <w:name w:val="Plain Table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3">
    <w:name w:val="Plain Table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Plain Table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5">
    <w:name w:val="Grid Table 1 Light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4"/>
    <w:basedOn w:val="9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9">
    <w:name w:val="Grid Table 5 Dark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0">
    <w:name w:val="Grid Table 6 Colorful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1">
    <w:name w:val="Grid Table 7 Colorful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4">
    <w:name w:val="List Table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5 Dark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7">
    <w:name w:val="List Table 6 Colorful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8">
    <w:name w:val="List Table 7 Colorful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88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890">
    <w:name w:val="Heading 1"/>
    <w:basedOn w:val="889"/>
    <w:next w:val="889"/>
    <w:link w:val="1107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891">
    <w:name w:val="Heading 2"/>
    <w:basedOn w:val="889"/>
    <w:next w:val="889"/>
    <w:link w:val="1108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892">
    <w:name w:val="Heading 3"/>
    <w:basedOn w:val="889"/>
    <w:next w:val="889"/>
    <w:link w:val="1084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paragraph" w:styleId="893">
    <w:name w:val="Heading 4"/>
    <w:basedOn w:val="889"/>
    <w:next w:val="889"/>
    <w:link w:val="9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94">
    <w:name w:val="Heading 5"/>
    <w:basedOn w:val="889"/>
    <w:next w:val="889"/>
    <w:link w:val="91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95">
    <w:name w:val="Heading 6"/>
    <w:basedOn w:val="889"/>
    <w:next w:val="889"/>
    <w:link w:val="9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96">
    <w:name w:val="Heading 7"/>
    <w:basedOn w:val="889"/>
    <w:next w:val="889"/>
    <w:link w:val="9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97">
    <w:name w:val="Heading 8"/>
    <w:basedOn w:val="889"/>
    <w:next w:val="889"/>
    <w:link w:val="9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98">
    <w:name w:val="Heading 9"/>
    <w:basedOn w:val="889"/>
    <w:next w:val="889"/>
    <w:link w:val="92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9" w:default="1">
    <w:name w:val="Default Paragraph Font"/>
    <w:uiPriority w:val="1"/>
    <w:semiHidden/>
    <w:unhideWhenUsed/>
  </w:style>
  <w:style w:type="table" w:styleId="9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1" w:default="1">
    <w:name w:val="No List"/>
    <w:uiPriority w:val="99"/>
    <w:semiHidden/>
    <w:unhideWhenUsed/>
  </w:style>
  <w:style w:type="character" w:styleId="902" w:customStyle="1">
    <w:name w:val="Heading 4 Char"/>
    <w:basedOn w:val="899"/>
    <w:uiPriority w:val="9"/>
    <w:rPr>
      <w:rFonts w:ascii="Arial" w:hAnsi="Arial" w:eastAsia="Arial" w:cs="Arial"/>
      <w:b/>
      <w:bCs/>
      <w:sz w:val="26"/>
      <w:szCs w:val="26"/>
    </w:rPr>
  </w:style>
  <w:style w:type="character" w:styleId="903" w:customStyle="1">
    <w:name w:val="Heading 5 Char"/>
    <w:basedOn w:val="899"/>
    <w:uiPriority w:val="9"/>
    <w:rPr>
      <w:rFonts w:ascii="Arial" w:hAnsi="Arial" w:eastAsia="Arial" w:cs="Arial"/>
      <w:b/>
      <w:bCs/>
      <w:sz w:val="24"/>
      <w:szCs w:val="24"/>
    </w:rPr>
  </w:style>
  <w:style w:type="character" w:styleId="904" w:customStyle="1">
    <w:name w:val="Heading 6 Char"/>
    <w:basedOn w:val="899"/>
    <w:uiPriority w:val="9"/>
    <w:rPr>
      <w:rFonts w:ascii="Arial" w:hAnsi="Arial" w:eastAsia="Arial" w:cs="Arial"/>
      <w:b/>
      <w:bCs/>
      <w:sz w:val="22"/>
      <w:szCs w:val="22"/>
    </w:rPr>
  </w:style>
  <w:style w:type="character" w:styleId="905" w:customStyle="1">
    <w:name w:val="Heading 7 Char"/>
    <w:basedOn w:val="8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06" w:customStyle="1">
    <w:name w:val="Heading 8 Char"/>
    <w:basedOn w:val="899"/>
    <w:uiPriority w:val="9"/>
    <w:rPr>
      <w:rFonts w:ascii="Arial" w:hAnsi="Arial" w:eastAsia="Arial" w:cs="Arial"/>
      <w:i/>
      <w:iCs/>
      <w:sz w:val="22"/>
      <w:szCs w:val="22"/>
    </w:rPr>
  </w:style>
  <w:style w:type="character" w:styleId="907" w:customStyle="1">
    <w:name w:val="Heading 9 Char"/>
    <w:basedOn w:val="899"/>
    <w:uiPriority w:val="9"/>
    <w:rPr>
      <w:rFonts w:ascii="Arial" w:hAnsi="Arial" w:eastAsia="Arial" w:cs="Arial"/>
      <w:i/>
      <w:iCs/>
      <w:sz w:val="21"/>
      <w:szCs w:val="21"/>
    </w:rPr>
  </w:style>
  <w:style w:type="character" w:styleId="908" w:customStyle="1">
    <w:name w:val="Subtitle Char"/>
    <w:basedOn w:val="899"/>
    <w:uiPriority w:val="11"/>
    <w:rPr>
      <w:sz w:val="24"/>
      <w:szCs w:val="24"/>
    </w:rPr>
  </w:style>
  <w:style w:type="character" w:styleId="909" w:customStyle="1">
    <w:name w:val="Quote Char"/>
    <w:uiPriority w:val="29"/>
    <w:rPr>
      <w:i/>
    </w:rPr>
  </w:style>
  <w:style w:type="character" w:styleId="910" w:customStyle="1">
    <w:name w:val="Intense Quote Char"/>
    <w:uiPriority w:val="30"/>
    <w:rPr>
      <w:i/>
    </w:rPr>
  </w:style>
  <w:style w:type="character" w:styleId="911" w:customStyle="1">
    <w:name w:val="Header Char"/>
    <w:basedOn w:val="899"/>
    <w:uiPriority w:val="99"/>
  </w:style>
  <w:style w:type="character" w:styleId="912" w:customStyle="1">
    <w:name w:val="Heading 1 Char"/>
    <w:basedOn w:val="899"/>
    <w:uiPriority w:val="9"/>
    <w:rPr>
      <w:rFonts w:ascii="Arial" w:hAnsi="Arial" w:eastAsia="Arial" w:cs="Arial"/>
      <w:sz w:val="40"/>
      <w:szCs w:val="40"/>
    </w:rPr>
  </w:style>
  <w:style w:type="character" w:styleId="913" w:customStyle="1">
    <w:name w:val="Heading 2 Char"/>
    <w:basedOn w:val="899"/>
    <w:uiPriority w:val="9"/>
    <w:rPr>
      <w:rFonts w:ascii="Arial" w:hAnsi="Arial" w:eastAsia="Arial" w:cs="Arial"/>
      <w:sz w:val="34"/>
    </w:rPr>
  </w:style>
  <w:style w:type="character" w:styleId="914" w:customStyle="1">
    <w:name w:val="Heading 3 Char"/>
    <w:basedOn w:val="899"/>
    <w:uiPriority w:val="9"/>
    <w:rPr>
      <w:rFonts w:ascii="Arial" w:hAnsi="Arial" w:eastAsia="Arial" w:cs="Arial"/>
      <w:sz w:val="30"/>
      <w:szCs w:val="30"/>
    </w:rPr>
  </w:style>
  <w:style w:type="character" w:styleId="915" w:customStyle="1">
    <w:name w:val="Заголовок 4 Знак"/>
    <w:basedOn w:val="899"/>
    <w:link w:val="893"/>
    <w:uiPriority w:val="9"/>
    <w:rPr>
      <w:rFonts w:ascii="Arial" w:hAnsi="Arial" w:eastAsia="Arial" w:cs="Arial"/>
      <w:b/>
      <w:bCs/>
      <w:sz w:val="26"/>
      <w:szCs w:val="26"/>
    </w:rPr>
  </w:style>
  <w:style w:type="character" w:styleId="916" w:customStyle="1">
    <w:name w:val="Заголовок 5 Знак"/>
    <w:basedOn w:val="899"/>
    <w:link w:val="894"/>
    <w:uiPriority w:val="9"/>
    <w:rPr>
      <w:rFonts w:ascii="Arial" w:hAnsi="Arial" w:eastAsia="Arial" w:cs="Arial"/>
      <w:b/>
      <w:bCs/>
      <w:sz w:val="24"/>
      <w:szCs w:val="24"/>
    </w:rPr>
  </w:style>
  <w:style w:type="character" w:styleId="917" w:customStyle="1">
    <w:name w:val="Заголовок 6 Знак"/>
    <w:basedOn w:val="899"/>
    <w:link w:val="895"/>
    <w:uiPriority w:val="9"/>
    <w:rPr>
      <w:rFonts w:ascii="Arial" w:hAnsi="Arial" w:eastAsia="Arial" w:cs="Arial"/>
      <w:b/>
      <w:bCs/>
      <w:sz w:val="22"/>
      <w:szCs w:val="22"/>
    </w:rPr>
  </w:style>
  <w:style w:type="character" w:styleId="918" w:customStyle="1">
    <w:name w:val="Заголовок 7 Знак"/>
    <w:basedOn w:val="899"/>
    <w:link w:val="8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19" w:customStyle="1">
    <w:name w:val="Заголовок 8 Знак"/>
    <w:basedOn w:val="899"/>
    <w:link w:val="897"/>
    <w:uiPriority w:val="9"/>
    <w:rPr>
      <w:rFonts w:ascii="Arial" w:hAnsi="Arial" w:eastAsia="Arial" w:cs="Arial"/>
      <w:i/>
      <w:iCs/>
      <w:sz w:val="22"/>
      <w:szCs w:val="22"/>
    </w:rPr>
  </w:style>
  <w:style w:type="character" w:styleId="920" w:customStyle="1">
    <w:name w:val="Заголовок 9 Знак"/>
    <w:basedOn w:val="899"/>
    <w:link w:val="898"/>
    <w:uiPriority w:val="9"/>
    <w:rPr>
      <w:rFonts w:ascii="Arial" w:hAnsi="Arial" w:eastAsia="Arial" w:cs="Arial"/>
      <w:i/>
      <w:iCs/>
      <w:sz w:val="21"/>
      <w:szCs w:val="21"/>
    </w:rPr>
  </w:style>
  <w:style w:type="character" w:styleId="921" w:customStyle="1">
    <w:name w:val="Title Char"/>
    <w:basedOn w:val="899"/>
    <w:uiPriority w:val="10"/>
    <w:rPr>
      <w:sz w:val="48"/>
      <w:szCs w:val="48"/>
    </w:rPr>
  </w:style>
  <w:style w:type="paragraph" w:styleId="922">
    <w:name w:val="Subtitle"/>
    <w:basedOn w:val="889"/>
    <w:next w:val="889"/>
    <w:link w:val="923"/>
    <w:uiPriority w:val="11"/>
    <w:qFormat/>
    <w:pPr>
      <w:spacing w:before="200" w:after="200"/>
    </w:pPr>
    <w:rPr>
      <w:sz w:val="24"/>
      <w:szCs w:val="24"/>
    </w:rPr>
  </w:style>
  <w:style w:type="character" w:styleId="923" w:customStyle="1">
    <w:name w:val="Подзаголовок Знак"/>
    <w:basedOn w:val="899"/>
    <w:link w:val="922"/>
    <w:uiPriority w:val="11"/>
    <w:rPr>
      <w:sz w:val="24"/>
      <w:szCs w:val="24"/>
    </w:rPr>
  </w:style>
  <w:style w:type="paragraph" w:styleId="924">
    <w:name w:val="Quote"/>
    <w:basedOn w:val="889"/>
    <w:next w:val="889"/>
    <w:link w:val="925"/>
    <w:uiPriority w:val="29"/>
    <w:qFormat/>
    <w:pPr>
      <w:ind w:left="720" w:right="720"/>
    </w:pPr>
    <w:rPr>
      <w:i/>
    </w:rPr>
  </w:style>
  <w:style w:type="character" w:styleId="925" w:customStyle="1">
    <w:name w:val="Цитата 2 Знак"/>
    <w:link w:val="924"/>
    <w:uiPriority w:val="29"/>
    <w:rPr>
      <w:i/>
    </w:rPr>
  </w:style>
  <w:style w:type="paragraph" w:styleId="926">
    <w:name w:val="Intense Quote"/>
    <w:basedOn w:val="889"/>
    <w:next w:val="889"/>
    <w:link w:val="92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7" w:customStyle="1">
    <w:name w:val="Выделенная цитата Знак"/>
    <w:link w:val="926"/>
    <w:uiPriority w:val="30"/>
    <w:rPr>
      <w:i/>
    </w:rPr>
  </w:style>
  <w:style w:type="character" w:styleId="928" w:customStyle="1">
    <w:name w:val="Верхний колонтитул Знак"/>
    <w:basedOn w:val="899"/>
    <w:link w:val="1070"/>
    <w:uiPriority w:val="99"/>
  </w:style>
  <w:style w:type="character" w:styleId="929" w:customStyle="1">
    <w:name w:val="Footer Char"/>
    <w:basedOn w:val="899"/>
    <w:uiPriority w:val="99"/>
  </w:style>
  <w:style w:type="character" w:styleId="930" w:customStyle="1">
    <w:name w:val="Caption Char"/>
    <w:uiPriority w:val="99"/>
  </w:style>
  <w:style w:type="table" w:styleId="931" w:customStyle="1">
    <w:name w:val="Table Grid Light"/>
    <w:basedOn w:val="90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32" w:customStyle="1">
    <w:name w:val="Таблица простая 11"/>
    <w:basedOn w:val="90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3" w:customStyle="1">
    <w:name w:val="Таблица простая 21"/>
    <w:basedOn w:val="90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4" w:customStyle="1">
    <w:name w:val="Таблица простая 31"/>
    <w:basedOn w:val="9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5" w:customStyle="1">
    <w:name w:val="Таблица простая 41"/>
    <w:basedOn w:val="9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Таблица простая 51"/>
    <w:basedOn w:val="90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7" w:customStyle="1">
    <w:name w:val="Таблица-сетка 1 светлая1"/>
    <w:basedOn w:val="90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Grid Table 1 Light - Accent 1"/>
    <w:basedOn w:val="90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Grid Table 1 Light - Accent 2"/>
    <w:basedOn w:val="90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Grid Table 1 Light - Accent 3"/>
    <w:basedOn w:val="90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Grid Table 1 Light - Accent 4"/>
    <w:basedOn w:val="90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Grid Table 1 Light - Accent 5"/>
    <w:basedOn w:val="90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Grid Table 1 Light - Accent 6"/>
    <w:basedOn w:val="90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Таблица-сетка 21"/>
    <w:basedOn w:val="9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 w:customStyle="1">
    <w:name w:val="Grid Table 2 - Accent 1"/>
    <w:basedOn w:val="90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 w:customStyle="1">
    <w:name w:val="Grid Table 2 - Accent 2"/>
    <w:basedOn w:val="90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 w:customStyle="1">
    <w:name w:val="Grid Table 2 - Accent 3"/>
    <w:basedOn w:val="90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 w:customStyle="1">
    <w:name w:val="Grid Table 2 - Accent 4"/>
    <w:basedOn w:val="90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 w:customStyle="1">
    <w:name w:val="Grid Table 2 - Accent 5"/>
    <w:basedOn w:val="90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Grid Table 2 - Accent 6"/>
    <w:basedOn w:val="90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Таблица-сетка 31"/>
    <w:basedOn w:val="90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Grid Table 3 - Accent 1"/>
    <w:basedOn w:val="90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Grid Table 3 - Accent 2"/>
    <w:basedOn w:val="90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 w:customStyle="1">
    <w:name w:val="Grid Table 3 - Accent 3"/>
    <w:basedOn w:val="90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Grid Table 3 - Accent 4"/>
    <w:basedOn w:val="90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Grid Table 3 - Accent 5"/>
    <w:basedOn w:val="90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Grid Table 3 - Accent 6"/>
    <w:basedOn w:val="90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Таблица-сетка 41"/>
    <w:basedOn w:val="90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9" w:customStyle="1">
    <w:name w:val="Grid Table 4 - Accent 1"/>
    <w:basedOn w:val="90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60" w:customStyle="1">
    <w:name w:val="Grid Table 4 - Accent 2"/>
    <w:basedOn w:val="90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61" w:customStyle="1">
    <w:name w:val="Grid Table 4 - Accent 3"/>
    <w:basedOn w:val="90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62" w:customStyle="1">
    <w:name w:val="Grid Table 4 - Accent 4"/>
    <w:basedOn w:val="90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63" w:customStyle="1">
    <w:name w:val="Grid Table 4 - Accent 5"/>
    <w:basedOn w:val="90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64" w:customStyle="1">
    <w:name w:val="Grid Table 4 - Accent 6"/>
    <w:basedOn w:val="90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65" w:customStyle="1">
    <w:name w:val="Таблица-сетка 5 темная1"/>
    <w:basedOn w:val="9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66" w:customStyle="1">
    <w:name w:val="Grid Table 5 Dark- Accent 1"/>
    <w:basedOn w:val="9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67" w:customStyle="1">
    <w:name w:val="Grid Table 5 Dark - Accent 2"/>
    <w:basedOn w:val="9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68" w:customStyle="1">
    <w:name w:val="Grid Table 5 Dark - Accent 3"/>
    <w:basedOn w:val="9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69" w:customStyle="1">
    <w:name w:val="Grid Table 5 Dark- Accent 4"/>
    <w:basedOn w:val="9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70" w:customStyle="1">
    <w:name w:val="Grid Table 5 Dark - Accent 5"/>
    <w:basedOn w:val="9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71" w:customStyle="1">
    <w:name w:val="Grid Table 5 Dark - Accent 6"/>
    <w:basedOn w:val="90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72" w:customStyle="1">
    <w:name w:val="Таблица-сетка 6 цветная1"/>
    <w:basedOn w:val="90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73" w:customStyle="1">
    <w:name w:val="Grid Table 6 Colorful - Accent 1"/>
    <w:basedOn w:val="90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74" w:customStyle="1">
    <w:name w:val="Grid Table 6 Colorful - Accent 2"/>
    <w:basedOn w:val="90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75" w:customStyle="1">
    <w:name w:val="Grid Table 6 Colorful - Accent 3"/>
    <w:basedOn w:val="90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76" w:customStyle="1">
    <w:name w:val="Grid Table 6 Colorful - Accent 4"/>
    <w:basedOn w:val="90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77" w:customStyle="1">
    <w:name w:val="Grid Table 6 Colorful - Accent 5"/>
    <w:basedOn w:val="90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78" w:customStyle="1">
    <w:name w:val="Grid Table 6 Colorful - Accent 6"/>
    <w:basedOn w:val="90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79" w:customStyle="1">
    <w:name w:val="Таблица-сетка 7 цветная1"/>
    <w:basedOn w:val="90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Grid Table 7 Colorful - Accent 1"/>
    <w:basedOn w:val="90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Grid Table 7 Colorful - Accent 2"/>
    <w:basedOn w:val="90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Grid Table 7 Colorful - Accent 3"/>
    <w:basedOn w:val="90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Grid Table 7 Colorful - Accent 4"/>
    <w:basedOn w:val="90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Grid Table 7 Colorful - Accent 5"/>
    <w:basedOn w:val="90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Grid Table 7 Colorful - Accent 6"/>
    <w:basedOn w:val="90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 w:customStyle="1">
    <w:name w:val="Список-таблица 1 светлая1"/>
    <w:basedOn w:val="90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 w:customStyle="1">
    <w:name w:val="List Table 1 Light - Accent 1"/>
    <w:basedOn w:val="90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 w:customStyle="1">
    <w:name w:val="List Table 1 Light - Accent 2"/>
    <w:basedOn w:val="90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 w:customStyle="1">
    <w:name w:val="List Table 1 Light - Accent 3"/>
    <w:basedOn w:val="90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 w:customStyle="1">
    <w:name w:val="List Table 1 Light - Accent 4"/>
    <w:basedOn w:val="90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 w:customStyle="1">
    <w:name w:val="List Table 1 Light - Accent 5"/>
    <w:basedOn w:val="90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 w:customStyle="1">
    <w:name w:val="List Table 1 Light - Accent 6"/>
    <w:basedOn w:val="90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 w:customStyle="1">
    <w:name w:val="Список-таблица 21"/>
    <w:basedOn w:val="90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94" w:customStyle="1">
    <w:name w:val="List Table 2 - Accent 1"/>
    <w:basedOn w:val="90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95" w:customStyle="1">
    <w:name w:val="List Table 2 - Accent 2"/>
    <w:basedOn w:val="90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96" w:customStyle="1">
    <w:name w:val="List Table 2 - Accent 3"/>
    <w:basedOn w:val="90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97" w:customStyle="1">
    <w:name w:val="List Table 2 - Accent 4"/>
    <w:basedOn w:val="90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98" w:customStyle="1">
    <w:name w:val="List Table 2 - Accent 5"/>
    <w:basedOn w:val="90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99" w:customStyle="1">
    <w:name w:val="List Table 2 - Accent 6"/>
    <w:basedOn w:val="90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00" w:customStyle="1">
    <w:name w:val="Список-таблица 31"/>
    <w:basedOn w:val="9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 w:customStyle="1">
    <w:name w:val="List Table 3 - Accent 1"/>
    <w:basedOn w:val="90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 w:customStyle="1">
    <w:name w:val="List Table 3 - Accent 2"/>
    <w:basedOn w:val="90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 w:customStyle="1">
    <w:name w:val="List Table 3 - Accent 3"/>
    <w:basedOn w:val="90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 w:customStyle="1">
    <w:name w:val="List Table 3 - Accent 4"/>
    <w:basedOn w:val="90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 w:customStyle="1">
    <w:name w:val="List Table 3 - Accent 5"/>
    <w:basedOn w:val="90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 w:customStyle="1">
    <w:name w:val="List Table 3 - Accent 6"/>
    <w:basedOn w:val="90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 w:customStyle="1">
    <w:name w:val="Список-таблица 41"/>
    <w:basedOn w:val="90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 w:customStyle="1">
    <w:name w:val="List Table 4 - Accent 1"/>
    <w:basedOn w:val="90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 w:customStyle="1">
    <w:name w:val="List Table 4 - Accent 2"/>
    <w:basedOn w:val="90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 w:customStyle="1">
    <w:name w:val="List Table 4 - Accent 3"/>
    <w:basedOn w:val="90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 w:customStyle="1">
    <w:name w:val="List Table 4 - Accent 4"/>
    <w:basedOn w:val="90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 w:customStyle="1">
    <w:name w:val="List Table 4 - Accent 5"/>
    <w:basedOn w:val="90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 w:customStyle="1">
    <w:name w:val="List Table 4 - Accent 6"/>
    <w:basedOn w:val="90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 w:customStyle="1">
    <w:name w:val="Список-таблица 5 темная1"/>
    <w:basedOn w:val="90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5" w:customStyle="1">
    <w:name w:val="List Table 5 Dark - Accent 1"/>
    <w:basedOn w:val="90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6" w:customStyle="1">
    <w:name w:val="List Table 5 Dark - Accent 2"/>
    <w:basedOn w:val="90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7" w:customStyle="1">
    <w:name w:val="List Table 5 Dark - Accent 3"/>
    <w:basedOn w:val="90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8" w:customStyle="1">
    <w:name w:val="List Table 5 Dark - Accent 4"/>
    <w:basedOn w:val="90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19" w:customStyle="1">
    <w:name w:val="List Table 5 Dark - Accent 5"/>
    <w:basedOn w:val="90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0" w:customStyle="1">
    <w:name w:val="List Table 5 Dark - Accent 6"/>
    <w:basedOn w:val="90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1" w:customStyle="1">
    <w:name w:val="Список-таблица 6 цветная1"/>
    <w:basedOn w:val="90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22" w:customStyle="1">
    <w:name w:val="List Table 6 Colorful - Accent 1"/>
    <w:basedOn w:val="90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23" w:customStyle="1">
    <w:name w:val="List Table 6 Colorful - Accent 2"/>
    <w:basedOn w:val="90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24" w:customStyle="1">
    <w:name w:val="List Table 6 Colorful - Accent 3"/>
    <w:basedOn w:val="90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25" w:customStyle="1">
    <w:name w:val="List Table 6 Colorful - Accent 4"/>
    <w:basedOn w:val="90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26" w:customStyle="1">
    <w:name w:val="List Table 6 Colorful - Accent 5"/>
    <w:basedOn w:val="90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27" w:customStyle="1">
    <w:name w:val="List Table 6 Colorful - Accent 6"/>
    <w:basedOn w:val="90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28" w:customStyle="1">
    <w:name w:val="Список-таблица 7 цветная1"/>
    <w:basedOn w:val="90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 w:customStyle="1">
    <w:name w:val="List Table 7 Colorful - Accent 1"/>
    <w:basedOn w:val="90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 w:customStyle="1">
    <w:name w:val="List Table 7 Colorful - Accent 2"/>
    <w:basedOn w:val="90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 w:customStyle="1">
    <w:name w:val="List Table 7 Colorful - Accent 3"/>
    <w:basedOn w:val="90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 w:customStyle="1">
    <w:name w:val="List Table 7 Colorful - Accent 4"/>
    <w:basedOn w:val="90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 w:customStyle="1">
    <w:name w:val="List Table 7 Colorful - Accent 5"/>
    <w:basedOn w:val="90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 w:customStyle="1">
    <w:name w:val="List Table 7 Colorful - Accent 6"/>
    <w:basedOn w:val="90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5" w:customStyle="1">
    <w:name w:val="Lined - Accent"/>
    <w:basedOn w:val="9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36" w:customStyle="1">
    <w:name w:val="Lined - Accent 1"/>
    <w:basedOn w:val="9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37" w:customStyle="1">
    <w:name w:val="Lined - Accent 2"/>
    <w:basedOn w:val="9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38" w:customStyle="1">
    <w:name w:val="Lined - Accent 3"/>
    <w:basedOn w:val="9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39" w:customStyle="1">
    <w:name w:val="Lined - Accent 4"/>
    <w:basedOn w:val="9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40" w:customStyle="1">
    <w:name w:val="Lined - Accent 5"/>
    <w:basedOn w:val="9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41" w:customStyle="1">
    <w:name w:val="Lined - Accent 6"/>
    <w:basedOn w:val="90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42" w:customStyle="1">
    <w:name w:val="Bordered &amp; Lined - Accent"/>
    <w:basedOn w:val="90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43" w:customStyle="1">
    <w:name w:val="Bordered &amp; Lined - Accent 1"/>
    <w:basedOn w:val="90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44" w:customStyle="1">
    <w:name w:val="Bordered &amp; Lined - Accent 2"/>
    <w:basedOn w:val="90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45" w:customStyle="1">
    <w:name w:val="Bordered &amp; Lined - Accent 3"/>
    <w:basedOn w:val="90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46" w:customStyle="1">
    <w:name w:val="Bordered &amp; Lined - Accent 4"/>
    <w:basedOn w:val="90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47" w:customStyle="1">
    <w:name w:val="Bordered &amp; Lined - Accent 5"/>
    <w:basedOn w:val="90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48" w:customStyle="1">
    <w:name w:val="Bordered &amp; Lined - Accent 6"/>
    <w:basedOn w:val="90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49" w:customStyle="1">
    <w:name w:val="Bordered"/>
    <w:basedOn w:val="90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50" w:customStyle="1">
    <w:name w:val="Bordered - Accent 1"/>
    <w:basedOn w:val="90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51" w:customStyle="1">
    <w:name w:val="Bordered - Accent 2"/>
    <w:basedOn w:val="90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52" w:customStyle="1">
    <w:name w:val="Bordered - Accent 3"/>
    <w:basedOn w:val="90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53" w:customStyle="1">
    <w:name w:val="Bordered - Accent 4"/>
    <w:basedOn w:val="90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54" w:customStyle="1">
    <w:name w:val="Bordered - Accent 5"/>
    <w:basedOn w:val="90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55" w:customStyle="1">
    <w:name w:val="Bordered - Accent 6"/>
    <w:basedOn w:val="90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56" w:customStyle="1">
    <w:name w:val="Footnote Text Char"/>
    <w:uiPriority w:val="99"/>
    <w:rPr>
      <w:sz w:val="18"/>
    </w:rPr>
  </w:style>
  <w:style w:type="character" w:styleId="1057" w:customStyle="1">
    <w:name w:val="Endnote Text Char"/>
    <w:uiPriority w:val="99"/>
    <w:rPr>
      <w:sz w:val="20"/>
    </w:rPr>
  </w:style>
  <w:style w:type="paragraph" w:styleId="1058">
    <w:name w:val="toc 1"/>
    <w:basedOn w:val="889"/>
    <w:next w:val="889"/>
    <w:uiPriority w:val="39"/>
    <w:unhideWhenUsed/>
    <w:pPr>
      <w:ind w:firstLine="0"/>
      <w:spacing w:after="57"/>
    </w:pPr>
  </w:style>
  <w:style w:type="paragraph" w:styleId="1059">
    <w:name w:val="toc 2"/>
    <w:basedOn w:val="889"/>
    <w:next w:val="889"/>
    <w:uiPriority w:val="39"/>
    <w:unhideWhenUsed/>
    <w:pPr>
      <w:ind w:left="283" w:firstLine="0"/>
      <w:spacing w:after="57"/>
    </w:pPr>
  </w:style>
  <w:style w:type="paragraph" w:styleId="1060">
    <w:name w:val="toc 3"/>
    <w:basedOn w:val="889"/>
    <w:next w:val="889"/>
    <w:uiPriority w:val="39"/>
    <w:unhideWhenUsed/>
    <w:pPr>
      <w:ind w:left="567" w:firstLine="0"/>
      <w:spacing w:after="57"/>
    </w:pPr>
  </w:style>
  <w:style w:type="paragraph" w:styleId="1061">
    <w:name w:val="toc 4"/>
    <w:basedOn w:val="889"/>
    <w:next w:val="889"/>
    <w:uiPriority w:val="39"/>
    <w:unhideWhenUsed/>
    <w:pPr>
      <w:ind w:left="850" w:firstLine="0"/>
      <w:spacing w:after="57"/>
    </w:pPr>
  </w:style>
  <w:style w:type="paragraph" w:styleId="1062">
    <w:name w:val="toc 5"/>
    <w:basedOn w:val="889"/>
    <w:next w:val="889"/>
    <w:uiPriority w:val="39"/>
    <w:unhideWhenUsed/>
    <w:pPr>
      <w:ind w:left="1134" w:firstLine="0"/>
      <w:spacing w:after="57"/>
    </w:pPr>
  </w:style>
  <w:style w:type="paragraph" w:styleId="1063">
    <w:name w:val="toc 6"/>
    <w:basedOn w:val="889"/>
    <w:next w:val="889"/>
    <w:uiPriority w:val="39"/>
    <w:unhideWhenUsed/>
    <w:pPr>
      <w:ind w:left="1417" w:firstLine="0"/>
      <w:spacing w:after="57"/>
    </w:pPr>
  </w:style>
  <w:style w:type="paragraph" w:styleId="1064">
    <w:name w:val="toc 7"/>
    <w:basedOn w:val="889"/>
    <w:next w:val="889"/>
    <w:uiPriority w:val="39"/>
    <w:unhideWhenUsed/>
    <w:pPr>
      <w:ind w:left="1701" w:firstLine="0"/>
      <w:spacing w:after="57"/>
    </w:pPr>
  </w:style>
  <w:style w:type="paragraph" w:styleId="1065">
    <w:name w:val="toc 8"/>
    <w:basedOn w:val="889"/>
    <w:next w:val="889"/>
    <w:uiPriority w:val="39"/>
    <w:unhideWhenUsed/>
    <w:pPr>
      <w:ind w:left="1984" w:firstLine="0"/>
      <w:spacing w:after="57"/>
    </w:pPr>
  </w:style>
  <w:style w:type="paragraph" w:styleId="1066">
    <w:name w:val="toc 9"/>
    <w:basedOn w:val="889"/>
    <w:next w:val="889"/>
    <w:uiPriority w:val="39"/>
    <w:unhideWhenUsed/>
    <w:pPr>
      <w:ind w:left="2268" w:firstLine="0"/>
      <w:spacing w:after="57"/>
    </w:pPr>
  </w:style>
  <w:style w:type="paragraph" w:styleId="1067">
    <w:name w:val="TOC Heading"/>
    <w:uiPriority w:val="39"/>
    <w:unhideWhenUsed/>
  </w:style>
  <w:style w:type="paragraph" w:styleId="1068">
    <w:name w:val="table of figures"/>
    <w:basedOn w:val="889"/>
    <w:next w:val="889"/>
    <w:uiPriority w:val="99"/>
    <w:unhideWhenUsed/>
  </w:style>
  <w:style w:type="paragraph" w:styleId="1069">
    <w:name w:val="Body Text 3"/>
    <w:basedOn w:val="889"/>
    <w:link w:val="1104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70">
    <w:name w:val="Header"/>
    <w:basedOn w:val="889"/>
    <w:link w:val="928"/>
    <w:pPr>
      <w:tabs>
        <w:tab w:val="center" w:pos="4677" w:leader="none"/>
        <w:tab w:val="right" w:pos="9355" w:leader="none"/>
      </w:tabs>
    </w:pPr>
  </w:style>
  <w:style w:type="paragraph" w:styleId="1071">
    <w:name w:val="Body Text"/>
    <w:basedOn w:val="889"/>
    <w:pPr>
      <w:spacing w:after="120"/>
    </w:pPr>
  </w:style>
  <w:style w:type="paragraph" w:styleId="1072" w:customStyle="1">
    <w:name w:val="Style1"/>
    <w:basedOn w:val="889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73">
    <w:name w:val="Body Text 2"/>
    <w:basedOn w:val="889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74" w:customStyle="1">
    <w:name w:val="Знак"/>
    <w:basedOn w:val="88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5">
    <w:name w:val="footnote text"/>
    <w:basedOn w:val="889"/>
    <w:link w:val="1120"/>
    <w:pPr>
      <w:ind w:firstLine="0"/>
      <w:jc w:val="left"/>
      <w:spacing w:line="240" w:lineRule="auto"/>
    </w:pPr>
    <w:rPr>
      <w:sz w:val="20"/>
      <w:szCs w:val="20"/>
    </w:rPr>
  </w:style>
  <w:style w:type="character" w:styleId="1076">
    <w:name w:val="footnote reference"/>
    <w:rPr>
      <w:vertAlign w:val="superscript"/>
    </w:rPr>
  </w:style>
  <w:style w:type="table" w:styleId="1077">
    <w:name w:val="Table Grid"/>
    <w:basedOn w:val="900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8" w:customStyle="1">
    <w:name w:val="Знак Знак Знак Знак Знак Знак Знак"/>
    <w:basedOn w:val="88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9" w:customStyle="1">
    <w:name w:val="Знак2"/>
    <w:basedOn w:val="88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0" w:customStyle="1">
    <w:name w:val="Знак Знак Знак Знак Знак Знак Знак Знак Знак"/>
    <w:basedOn w:val="889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81" w:customStyle="1">
    <w:name w:val="Пункт договора"/>
    <w:basedOn w:val="889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82" w:customStyle="1">
    <w:name w:val="Подпункт договора"/>
    <w:basedOn w:val="889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83">
    <w:name w:val="Body Text Indent 3"/>
    <w:basedOn w:val="889"/>
    <w:pPr>
      <w:ind w:left="283"/>
      <w:spacing w:after="120"/>
    </w:pPr>
    <w:rPr>
      <w:sz w:val="16"/>
      <w:szCs w:val="16"/>
    </w:rPr>
  </w:style>
  <w:style w:type="character" w:styleId="1084" w:customStyle="1">
    <w:name w:val="Заголовок 3 Знак"/>
    <w:link w:val="892"/>
    <w:rPr>
      <w:b/>
      <w:sz w:val="28"/>
    </w:rPr>
  </w:style>
  <w:style w:type="paragraph" w:styleId="1085">
    <w:name w:val="List Paragraph"/>
    <w:basedOn w:val="889"/>
    <w:link w:val="1128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86" w:customStyle="1">
    <w:name w:val="1. Статья"/>
    <w:basedOn w:val="892"/>
    <w:link w:val="1093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87" w:customStyle="1">
    <w:name w:val="2. Пункт"/>
    <w:basedOn w:val="892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88" w:customStyle="1">
    <w:name w:val="3. Подпункт"/>
    <w:basedOn w:val="892"/>
    <w:link w:val="1089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89" w:customStyle="1">
    <w:name w:val="3. Подпункт Знак"/>
    <w:link w:val="1088"/>
    <w:rPr>
      <w:b/>
      <w:bCs/>
      <w:sz w:val="24"/>
      <w:szCs w:val="24"/>
    </w:rPr>
  </w:style>
  <w:style w:type="paragraph" w:styleId="1090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91">
    <w:name w:val="Balloon Text"/>
    <w:basedOn w:val="889"/>
    <w:link w:val="1092"/>
    <w:pPr>
      <w:spacing w:line="240" w:lineRule="auto"/>
    </w:pPr>
    <w:rPr>
      <w:rFonts w:ascii="Tahoma" w:hAnsi="Tahoma"/>
      <w:sz w:val="16"/>
      <w:szCs w:val="16"/>
    </w:rPr>
  </w:style>
  <w:style w:type="character" w:styleId="1092" w:customStyle="1">
    <w:name w:val="Текст выноски Знак"/>
    <w:link w:val="1091"/>
    <w:rPr>
      <w:rFonts w:ascii="Tahoma" w:hAnsi="Tahoma" w:cs="Tahoma"/>
      <w:sz w:val="16"/>
      <w:szCs w:val="16"/>
    </w:rPr>
  </w:style>
  <w:style w:type="character" w:styleId="1093" w:customStyle="1">
    <w:name w:val="1. Статья Знак"/>
    <w:link w:val="1086"/>
    <w:rPr>
      <w:sz w:val="24"/>
      <w:szCs w:val="24"/>
    </w:rPr>
  </w:style>
  <w:style w:type="paragraph" w:styleId="1094" w:customStyle="1">
    <w:name w:val="4. Отчерк"/>
    <w:basedOn w:val="889"/>
    <w:link w:val="1095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95" w:customStyle="1">
    <w:name w:val="4. Отчерк Знак"/>
    <w:link w:val="1094"/>
    <w:rPr>
      <w:sz w:val="24"/>
      <w:szCs w:val="24"/>
    </w:rPr>
  </w:style>
  <w:style w:type="character" w:styleId="1096">
    <w:name w:val="annotation reference"/>
    <w:rPr>
      <w:sz w:val="16"/>
      <w:szCs w:val="16"/>
    </w:rPr>
  </w:style>
  <w:style w:type="paragraph" w:styleId="1097">
    <w:name w:val="annotation text"/>
    <w:basedOn w:val="889"/>
    <w:link w:val="1098"/>
    <w:pPr>
      <w:spacing w:line="240" w:lineRule="auto"/>
    </w:pPr>
    <w:rPr>
      <w:sz w:val="20"/>
      <w:szCs w:val="20"/>
    </w:rPr>
  </w:style>
  <w:style w:type="character" w:styleId="1098" w:customStyle="1">
    <w:name w:val="Текст примечания Знак"/>
    <w:link w:val="1097"/>
  </w:style>
  <w:style w:type="paragraph" w:styleId="1099">
    <w:name w:val="annotation subject"/>
    <w:basedOn w:val="1097"/>
    <w:next w:val="1097"/>
    <w:link w:val="1100"/>
    <w:rPr>
      <w:b/>
      <w:bCs/>
    </w:rPr>
  </w:style>
  <w:style w:type="character" w:styleId="1100" w:customStyle="1">
    <w:name w:val="Тема примечания Знак"/>
    <w:link w:val="1099"/>
    <w:rPr>
      <w:b/>
      <w:bCs/>
    </w:rPr>
  </w:style>
  <w:style w:type="paragraph" w:styleId="1101">
    <w:name w:val="Footer"/>
    <w:basedOn w:val="889"/>
    <w:link w:val="1102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02" w:customStyle="1">
    <w:name w:val="Нижний колонтитул Знак"/>
    <w:link w:val="1101"/>
    <w:uiPriority w:val="99"/>
    <w:rPr>
      <w:sz w:val="28"/>
      <w:szCs w:val="28"/>
    </w:rPr>
  </w:style>
  <w:style w:type="paragraph" w:styleId="1103">
    <w:name w:val="Revision"/>
    <w:hidden/>
    <w:uiPriority w:val="99"/>
    <w:semiHidden/>
    <w:rPr>
      <w:sz w:val="28"/>
      <w:szCs w:val="28"/>
    </w:rPr>
  </w:style>
  <w:style w:type="character" w:styleId="1104" w:customStyle="1">
    <w:name w:val="Основной текст 3 Знак"/>
    <w:link w:val="1069"/>
    <w:rPr>
      <w:color w:val="0000ff"/>
      <w:sz w:val="24"/>
      <w:szCs w:val="24"/>
      <w:lang w:eastAsia="en-US"/>
    </w:rPr>
  </w:style>
  <w:style w:type="paragraph" w:styleId="1105">
    <w:name w:val="Title"/>
    <w:basedOn w:val="889"/>
    <w:link w:val="1106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06" w:customStyle="1">
    <w:name w:val="Заголовок Знак"/>
    <w:link w:val="1105"/>
    <w:rPr>
      <w:b/>
      <w:sz w:val="22"/>
      <w:szCs w:val="22"/>
      <w:shd w:val="clear" w:color="auto" w:fill="ffffff"/>
    </w:rPr>
  </w:style>
  <w:style w:type="character" w:styleId="1107" w:customStyle="1">
    <w:name w:val="Заголовок 1 Знак"/>
    <w:link w:val="890"/>
    <w:rPr>
      <w:rFonts w:ascii="Cambria" w:hAnsi="Cambria" w:eastAsia="Times New Roman" w:cs="Times New Roman"/>
      <w:b/>
      <w:bCs/>
      <w:sz w:val="32"/>
      <w:szCs w:val="32"/>
    </w:rPr>
  </w:style>
  <w:style w:type="character" w:styleId="1108" w:customStyle="1">
    <w:name w:val="Заголовок 2 Знак"/>
    <w:link w:val="89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09">
    <w:name w:val="Body Text Indent"/>
    <w:basedOn w:val="889"/>
    <w:link w:val="1110"/>
    <w:pPr>
      <w:ind w:left="283"/>
      <w:spacing w:after="120"/>
    </w:pPr>
  </w:style>
  <w:style w:type="character" w:styleId="1110" w:customStyle="1">
    <w:name w:val="Основной текст с отступом Знак"/>
    <w:link w:val="1109"/>
    <w:rPr>
      <w:sz w:val="28"/>
      <w:szCs w:val="28"/>
    </w:rPr>
  </w:style>
  <w:style w:type="paragraph" w:styleId="1111" w:customStyle="1">
    <w:name w:val="Пункт 3.3.3"/>
    <w:basedOn w:val="889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12" w:customStyle="1">
    <w:name w:val="Заглавие"/>
    <w:basedOn w:val="889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13">
    <w:name w:val="Caption"/>
    <w:basedOn w:val="889"/>
    <w:next w:val="889"/>
    <w:link w:val="930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14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15" w:customStyle="1">
    <w:name w:val="Знак1"/>
    <w:basedOn w:val="88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16" w:customStyle="1">
    <w:name w:val="Контракт-раздел"/>
    <w:basedOn w:val="889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17" w:customStyle="1">
    <w:name w:val="Контракт-пункт"/>
    <w:basedOn w:val="889"/>
    <w:pPr>
      <w:numPr>
        <w:ilvl w:val="1"/>
        <w:numId w:val="4"/>
      </w:numPr>
    </w:pPr>
  </w:style>
  <w:style w:type="paragraph" w:styleId="1118" w:customStyle="1">
    <w:name w:val="Контракт-подпункт"/>
    <w:basedOn w:val="889"/>
    <w:pPr>
      <w:numPr>
        <w:ilvl w:val="2"/>
        <w:numId w:val="4"/>
      </w:numPr>
    </w:pPr>
  </w:style>
  <w:style w:type="paragraph" w:styleId="1119" w:customStyle="1">
    <w:name w:val="Контракт-подподпункт"/>
    <w:basedOn w:val="889"/>
    <w:pPr>
      <w:numPr>
        <w:ilvl w:val="3"/>
        <w:numId w:val="4"/>
      </w:numPr>
    </w:pPr>
  </w:style>
  <w:style w:type="character" w:styleId="1120" w:customStyle="1">
    <w:name w:val="Текст сноски Знак"/>
    <w:link w:val="1075"/>
  </w:style>
  <w:style w:type="character" w:styleId="1121">
    <w:name w:val="Hyperlink"/>
    <w:unhideWhenUsed/>
    <w:rPr>
      <w:color w:val="0000ff"/>
      <w:u w:val="single"/>
    </w:rPr>
  </w:style>
  <w:style w:type="paragraph" w:styleId="1122">
    <w:name w:val="endnote text"/>
    <w:basedOn w:val="889"/>
    <w:link w:val="1123"/>
    <w:uiPriority w:val="99"/>
    <w:semiHidden/>
    <w:unhideWhenUsed/>
    <w:rPr>
      <w:sz w:val="20"/>
      <w:szCs w:val="20"/>
    </w:rPr>
  </w:style>
  <w:style w:type="character" w:styleId="1123" w:customStyle="1">
    <w:name w:val="Текст концевой сноски Знак"/>
    <w:link w:val="1122"/>
    <w:uiPriority w:val="99"/>
    <w:semiHidden/>
  </w:style>
  <w:style w:type="character" w:styleId="1124">
    <w:name w:val="endnote reference"/>
    <w:uiPriority w:val="99"/>
    <w:semiHidden/>
    <w:unhideWhenUsed/>
    <w:rPr>
      <w:vertAlign w:val="superscript"/>
    </w:rPr>
  </w:style>
  <w:style w:type="paragraph" w:styleId="1125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1126" w:customStyle="1">
    <w:name w:val="Пункт_1"/>
    <w:basedOn w:val="889"/>
    <w:pPr>
      <w:numPr>
        <w:ilvl w:val="0"/>
        <w:numId w:val="16"/>
      </w:numPr>
      <w:keepNext/>
      <w:widowControl w:val="off"/>
    </w:pPr>
    <w:rPr>
      <w:b/>
      <w:bCs/>
    </w:rPr>
  </w:style>
  <w:style w:type="paragraph" w:styleId="1127" w:customStyle="1">
    <w:name w:val="Пункт_2"/>
    <w:basedOn w:val="889"/>
    <w:pPr>
      <w:numPr>
        <w:ilvl w:val="1"/>
        <w:numId w:val="16"/>
      </w:numPr>
      <w:widowControl w:val="off"/>
    </w:pPr>
  </w:style>
  <w:style w:type="character" w:styleId="1128" w:customStyle="1">
    <w:name w:val="Абзац списка Знак"/>
    <w:link w:val="1085"/>
    <w:uiPriority w:val="34"/>
    <w:rPr>
      <w:sz w:val="24"/>
      <w:szCs w:val="24"/>
    </w:rPr>
  </w:style>
  <w:style w:type="paragraph" w:styleId="1129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character" w:styleId="1130" w:customStyle="1">
    <w:name w:val="Font Style25"/>
    <w:uiPriority w:val="99"/>
    <w:rPr>
      <w:rFonts w:ascii="Times New Roman" w:hAnsi="Times New Roman" w:cs="Times New Roman"/>
      <w:sz w:val="22"/>
      <w:szCs w:val="22"/>
    </w:rPr>
  </w:style>
  <w:style w:type="paragraph" w:styleId="1131" w:customStyle="1">
    <w:name w:val="Без интервала1"/>
    <w:uiPriority w:val="1"/>
    <w:qFormat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/>
      <w:sz w:val="22"/>
      <w:szCs w:val="22"/>
      <w:lang w:eastAsia="en-US"/>
    </w:rPr>
  </w:style>
  <w:style w:type="paragraph" w:styleId="1132" w:customStyle="1">
    <w:name w:val="Абзац списка1"/>
    <w:basedOn w:val="893"/>
    <w:uiPriority w:val="34"/>
    <w:qFormat/>
    <w:pPr>
      <w:contextualSpacing/>
      <w:ind w:left="720" w:firstLine="0"/>
      <w:jc w:val="left"/>
      <w:keepLines w:val="0"/>
      <w:keepNext w:val="0"/>
      <w:spacing w:before="0"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sz w:val="24"/>
      <w:szCs w:val="24"/>
    </w:rPr>
  </w:style>
  <w:style w:type="paragraph" w:styleId="1133" w:customStyle="1">
    <w:name w:val="Абзац списка;Алроса_маркер (Уровень 4);Маркер;ПАРАГРАФ;Абзац списка2;Table-Normal;RSHB_Table-Normal;Заголовок_3;Подпись рисунка"/>
    <w:basedOn w:val="896"/>
    <w:pPr>
      <w:contextualSpacing/>
      <w:ind w:left="720" w:firstLine="0"/>
      <w:jc w:val="left"/>
      <w:keepLines w:val="0"/>
      <w:keepNext w:val="0"/>
      <w:spacing w:before="0" w:after="8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 w:val="0"/>
      <w:bCs w:val="0"/>
      <w:i w:val="0"/>
      <w:iCs w:val="0"/>
      <w:sz w:val="24"/>
      <w:szCs w:val="24"/>
    </w:rPr>
  </w:style>
  <w:style w:type="paragraph" w:styleId="1134" w:customStyle="1">
    <w:name w:val="Абзац списка"/>
    <w:basedOn w:val="958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hyperlink" Target="http://www.rushydro.ru/" TargetMode="External"/><Relationship Id="rId14" Type="http://schemas.openxmlformats.org/officeDocument/2006/relationships/hyperlink" Target="consultantplus://offline/ref=94D5CE8889791A29DE57299515463A9D6134D8237B999C803E6F853513x2A2P" TargetMode="External"/><Relationship Id="rId15" Type="http://schemas.openxmlformats.org/officeDocument/2006/relationships/hyperlink" Target="consultantplus://offline/ref=94D5CE8889791A29DE57299515463A9D6135D2287D929C803E6F853513x2A2P" TargetMode="External"/><Relationship Id="rId16" Type="http://schemas.openxmlformats.org/officeDocument/2006/relationships/hyperlink" Target="consultantplus://offline/ref=79440D5123ABA6A25F43346AB59DBAAC7032C8E1556DA64FAED62E167F76889C2B7C475C32EFC59BJ8rDH" TargetMode="External"/><Relationship Id="rId17" Type="http://schemas.openxmlformats.org/officeDocument/2006/relationships/hyperlink" Target="https://www.diadoc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22531-EF9A-4D22-98ED-1A42DEBF12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3AD87A-07F6-431E-B083-2E3289D78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shevchenko_ko</cp:lastModifiedBy>
  <cp:revision>59</cp:revision>
  <dcterms:created xsi:type="dcterms:W3CDTF">2024-07-09T04:40:00Z</dcterms:created>
  <dcterms:modified xsi:type="dcterms:W3CDTF">2026-07-02T01:48:29Z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